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b/>
        </w:rPr>
      </w:pPr>
      <w:r>
        <w:rPr>
          <w:b/>
        </w:rPr>
        <w:t xml:space="preserve">ROCESO DE GESTIÓN DE FORMACIÓN PROFESIONAL INTEGRAL </w:t>
      </w:r>
    </w:p>
    <w:p>
      <w:pPr>
        <w:spacing w:after="0" w:line="360" w:lineRule="auto"/>
        <w:jc w:val="center"/>
        <w:rPr>
          <w:b/>
          <w:color w:val="FF0000"/>
        </w:rPr>
      </w:pPr>
      <w:r>
        <w:rPr>
          <w:b/>
        </w:rPr>
        <w:t>FORMATO GUÍA DE APRENDIZAJE</w:t>
      </w:r>
    </w:p>
    <w:p>
      <w:pPr>
        <w:rPr>
          <w:b/>
          <w:color w:val="000000" w:themeColor="text1"/>
          <w14:textFill>
            <w14:solidFill>
              <w14:schemeClr w14:val="tx1"/>
            </w14:solidFill>
          </w14:textFill>
        </w:rPr>
      </w:pPr>
    </w:p>
    <w:p>
      <w:pPr>
        <w:jc w:val="both"/>
        <w:rPr>
          <w:rFonts w:ascii="Arial" w:hAnsi="Arial" w:cs="Arial"/>
          <w:b/>
          <w:sz w:val="20"/>
          <w:szCs w:val="20"/>
        </w:rPr>
      </w:pPr>
      <w:r>
        <w:rPr>
          <w:rFonts w:ascii="Arial" w:hAnsi="Arial" w:cs="Arial"/>
          <w:b/>
          <w:sz w:val="20"/>
          <w:szCs w:val="20"/>
        </w:rPr>
        <w:t>IDENTIFICACIÓN DE LA GUIA DE APRENDIZAJE</w:t>
      </w:r>
    </w:p>
    <w:p>
      <w:pPr>
        <w:jc w:val="both"/>
        <w:rPr>
          <w:rFonts w:ascii="Arial" w:hAnsi="Arial" w:cs="Arial"/>
          <w:sz w:val="20"/>
          <w:szCs w:val="20"/>
        </w:rPr>
      </w:pPr>
    </w:p>
    <w:p>
      <w:pPr>
        <w:pStyle w:val="30"/>
        <w:numPr>
          <w:ilvl w:val="0"/>
          <w:numId w:val="1"/>
        </w:numPr>
        <w:jc w:val="both"/>
        <w:rPr>
          <w:rFonts w:ascii="Arial" w:hAnsi="Arial" w:cs="Arial"/>
          <w:sz w:val="20"/>
          <w:szCs w:val="20"/>
        </w:rPr>
      </w:pPr>
      <w:r>
        <w:rPr>
          <w:rFonts w:ascii="Arial" w:hAnsi="Arial" w:cs="Arial"/>
          <w:sz w:val="20"/>
          <w:szCs w:val="20"/>
        </w:rPr>
        <w:t xml:space="preserve">Denominación del Programa de Formación: </w:t>
      </w:r>
      <w:r>
        <w:rPr>
          <w:sz w:val="20"/>
          <w:szCs w:val="20"/>
        </w:rPr>
        <w:t>: Ejercicio Derechos Fundamentales en el Trabajo: Ejercicio Derechos Fundamentales en el Trabajo</w:t>
      </w:r>
    </w:p>
    <w:p>
      <w:pPr>
        <w:pStyle w:val="30"/>
        <w:numPr>
          <w:ilvl w:val="0"/>
          <w:numId w:val="1"/>
        </w:numPr>
        <w:jc w:val="both"/>
        <w:rPr>
          <w:rFonts w:ascii="Arial" w:hAnsi="Arial" w:cs="Arial"/>
          <w:sz w:val="20"/>
          <w:szCs w:val="20"/>
        </w:rPr>
      </w:pPr>
      <w:r>
        <w:rPr>
          <w:rFonts w:ascii="Arial" w:hAnsi="Arial" w:cs="Arial"/>
          <w:sz w:val="20"/>
          <w:szCs w:val="20"/>
        </w:rPr>
        <w:t xml:space="preserve">Código del Programa de Formación: </w:t>
      </w:r>
      <w:r>
        <w:rPr>
          <w:sz w:val="20"/>
          <w:szCs w:val="20"/>
        </w:rPr>
        <w:t>42110153 V2</w:t>
      </w:r>
    </w:p>
    <w:p>
      <w:pPr>
        <w:pStyle w:val="30"/>
        <w:numPr>
          <w:ilvl w:val="0"/>
          <w:numId w:val="1"/>
        </w:numPr>
        <w:jc w:val="both"/>
        <w:rPr>
          <w:rFonts w:ascii="Arial" w:hAnsi="Arial" w:cs="Arial"/>
          <w:sz w:val="20"/>
          <w:szCs w:val="20"/>
        </w:rPr>
      </w:pPr>
      <w:r>
        <w:rPr>
          <w:rFonts w:ascii="Arial" w:hAnsi="Arial" w:cs="Arial"/>
          <w:sz w:val="20"/>
          <w:szCs w:val="20"/>
        </w:rPr>
        <w:t>Nombre del Proyecto ( si es formación Titulada)</w:t>
      </w:r>
    </w:p>
    <w:p>
      <w:pPr>
        <w:pStyle w:val="30"/>
        <w:numPr>
          <w:ilvl w:val="0"/>
          <w:numId w:val="1"/>
        </w:numPr>
        <w:jc w:val="both"/>
        <w:rPr>
          <w:rFonts w:ascii="Arial" w:hAnsi="Arial" w:cs="Arial"/>
          <w:sz w:val="20"/>
          <w:szCs w:val="20"/>
        </w:rPr>
      </w:pPr>
      <w:r>
        <w:rPr>
          <w:rFonts w:ascii="Arial" w:hAnsi="Arial" w:cs="Arial"/>
          <w:sz w:val="20"/>
          <w:szCs w:val="20"/>
        </w:rPr>
        <w:t>Fase del Proyecto ( si es  formación Titulada)</w:t>
      </w:r>
    </w:p>
    <w:p>
      <w:pPr>
        <w:pStyle w:val="30"/>
        <w:numPr>
          <w:ilvl w:val="0"/>
          <w:numId w:val="1"/>
        </w:numPr>
        <w:jc w:val="both"/>
        <w:rPr>
          <w:rFonts w:ascii="Arial" w:hAnsi="Arial" w:cs="Arial"/>
          <w:sz w:val="20"/>
          <w:szCs w:val="20"/>
        </w:rPr>
      </w:pPr>
      <w:r>
        <w:rPr>
          <w:rFonts w:ascii="Arial" w:hAnsi="Arial" w:cs="Arial"/>
          <w:sz w:val="20"/>
          <w:szCs w:val="20"/>
        </w:rPr>
        <w:t>Actividad de Proyecto(si es  formación Titulada)</w:t>
      </w:r>
    </w:p>
    <w:p>
      <w:pPr>
        <w:pStyle w:val="30"/>
        <w:numPr>
          <w:ilvl w:val="0"/>
          <w:numId w:val="1"/>
        </w:numPr>
        <w:jc w:val="both"/>
        <w:rPr>
          <w:rFonts w:ascii="Arial" w:hAnsi="Arial" w:cs="Arial"/>
          <w:sz w:val="20"/>
          <w:szCs w:val="20"/>
        </w:rPr>
      </w:pPr>
      <w:r>
        <w:rPr>
          <w:rFonts w:ascii="Arial" w:hAnsi="Arial" w:cs="Arial"/>
          <w:sz w:val="20"/>
          <w:szCs w:val="20"/>
        </w:rPr>
        <w:t xml:space="preserve">Competencia: </w:t>
      </w:r>
      <w:r>
        <w:rPr>
          <w:sz w:val="20"/>
          <w:szCs w:val="20"/>
        </w:rPr>
        <w:t>210201501 Ejercer Derechos fundamentales en el marco de la Constitución política y los convenios internacionales.</w:t>
      </w:r>
    </w:p>
    <w:p>
      <w:pPr>
        <w:pStyle w:val="30"/>
        <w:numPr>
          <w:ilvl w:val="0"/>
          <w:numId w:val="1"/>
        </w:numPr>
        <w:jc w:val="both"/>
        <w:rPr>
          <w:rFonts w:ascii="Arial" w:hAnsi="Arial" w:cs="Arial"/>
          <w:sz w:val="20"/>
          <w:szCs w:val="20"/>
        </w:rPr>
      </w:pPr>
      <w:r>
        <w:rPr>
          <w:rFonts w:ascii="Arial" w:hAnsi="Arial" w:cs="Arial"/>
          <w:sz w:val="20"/>
          <w:szCs w:val="20"/>
        </w:rPr>
        <w:t>Resultados de Aprendizaje Alcanzar:</w:t>
      </w:r>
      <w:r>
        <w:rPr>
          <w:sz w:val="20"/>
          <w:szCs w:val="20"/>
        </w:rPr>
        <w:t xml:space="preserve"> 21020150103 </w:t>
      </w:r>
      <w:r>
        <w:rPr>
          <w:color w:val="000000"/>
          <w:sz w:val="20"/>
          <w:szCs w:val="20"/>
        </w:rPr>
        <w:t>Practicar los derechos fundamentales en el trabajo de acuerdo con la Constitución Política y los Convenios Internacionales.</w:t>
      </w:r>
    </w:p>
    <w:p>
      <w:pPr>
        <w:pStyle w:val="30"/>
        <w:numPr>
          <w:ilvl w:val="0"/>
          <w:numId w:val="1"/>
        </w:numPr>
        <w:jc w:val="both"/>
        <w:rPr>
          <w:rFonts w:ascii="Arial" w:hAnsi="Arial" w:cs="Arial"/>
          <w:sz w:val="20"/>
          <w:szCs w:val="20"/>
        </w:rPr>
      </w:pPr>
      <w:r>
        <w:rPr>
          <w:rFonts w:ascii="Arial" w:hAnsi="Arial" w:cs="Arial"/>
          <w:sz w:val="20"/>
          <w:szCs w:val="20"/>
        </w:rPr>
        <w:t>Duración de la Guía. 16 H</w:t>
      </w:r>
    </w:p>
    <w:p>
      <w:pPr>
        <w:ind w:left="360"/>
        <w:jc w:val="both"/>
        <w:rPr>
          <w:rFonts w:ascii="Arial" w:hAnsi="Arial" w:cs="Arial"/>
          <w:sz w:val="20"/>
          <w:szCs w:val="20"/>
        </w:rPr>
      </w:pPr>
    </w:p>
    <w:p>
      <w:pPr>
        <w:tabs>
          <w:tab w:val="left" w:pos="4320"/>
          <w:tab w:val="left" w:pos="4485"/>
          <w:tab w:val="left" w:pos="5445"/>
        </w:tabs>
        <w:jc w:val="both"/>
        <w:rPr>
          <w:rFonts w:ascii="Arial" w:hAnsi="Arial" w:cs="Arial"/>
          <w:b/>
          <w:sz w:val="20"/>
          <w:szCs w:val="20"/>
        </w:rPr>
      </w:pPr>
      <w:r>
        <w:rPr>
          <w:rFonts w:ascii="Arial" w:hAnsi="Arial" w:cs="Arial"/>
          <w:b/>
          <w:sz w:val="20"/>
          <w:szCs w:val="20"/>
        </w:rPr>
        <w:t>2. PRESENTACIÓN</w:t>
      </w:r>
    </w:p>
    <w:p>
      <w:pPr>
        <w:pBdr>
          <w:top w:val="none" w:color="auto" w:sz="0" w:space="0"/>
          <w:left w:val="none" w:color="auto" w:sz="0" w:space="0"/>
          <w:bottom w:val="none" w:color="auto" w:sz="0" w:space="0"/>
          <w:right w:val="none" w:color="auto" w:sz="0" w:space="0"/>
          <w:between w:val="none" w:color="auto" w:sz="0" w:space="0"/>
        </w:pBdr>
        <w:tabs>
          <w:tab w:val="left" w:pos="3828"/>
        </w:tabs>
        <w:spacing w:after="0" w:line="240" w:lineRule="auto"/>
        <w:jc w:val="both"/>
        <w:rPr>
          <w:color w:val="000000"/>
          <w:sz w:val="20"/>
          <w:szCs w:val="20"/>
        </w:rPr>
      </w:pPr>
      <w:r>
        <w:rPr>
          <w:color w:val="000000"/>
          <w:sz w:val="20"/>
          <w:szCs w:val="20"/>
        </w:rPr>
        <w:t xml:space="preserve">El derecho del trabajo surge como conquista de la humanidad, producto de jornadas de organización y movilización social en distintos periodos históricos y como respuesta a la necesidad de garantizar la dignidad humana en las relaciones de trabajo. En tal sentido, se ha consolidado un sistema universal y otro regional de protección de los derechos humanos, incluyendo el derecho del trabajo, así como unas Normas Internacionales del Trabajo (NIT) que irrigan la Constitución Política de Colombia y el ordenamiento jurídico colombiano en diversos niveles. Sin embargo, paralelo a tal marco normativo persisten las violaciones a los derechos </w:t>
      </w:r>
      <w:r>
        <w:rPr>
          <w:sz w:val="20"/>
          <w:szCs w:val="20"/>
        </w:rPr>
        <w:t>fundamentales</w:t>
      </w:r>
      <w:r>
        <w:rPr>
          <w:color w:val="000000"/>
          <w:sz w:val="20"/>
          <w:szCs w:val="20"/>
        </w:rPr>
        <w:t xml:space="preserve"> </w:t>
      </w:r>
      <w:r>
        <w:rPr>
          <w:sz w:val="20"/>
          <w:szCs w:val="20"/>
        </w:rPr>
        <w:t xml:space="preserve">en </w:t>
      </w:r>
      <w:r>
        <w:rPr>
          <w:color w:val="000000"/>
          <w:sz w:val="20"/>
          <w:szCs w:val="20"/>
        </w:rPr>
        <w:t xml:space="preserve">el trabajo y altos niveles de desprotección social de amplios sectores de la población, la cual muchas veces ni siquiera conoce sus derechos y la forma de ejercerlos. </w:t>
      </w:r>
    </w:p>
    <w:p>
      <w:pPr>
        <w:pBdr>
          <w:top w:val="none" w:color="auto" w:sz="0" w:space="0"/>
          <w:left w:val="none" w:color="auto" w:sz="0" w:space="0"/>
          <w:bottom w:val="none" w:color="auto" w:sz="0" w:space="0"/>
          <w:right w:val="none" w:color="auto" w:sz="0" w:space="0"/>
          <w:between w:val="none" w:color="auto" w:sz="0" w:space="0"/>
        </w:pBdr>
        <w:tabs>
          <w:tab w:val="left" w:pos="3828"/>
        </w:tabs>
        <w:spacing w:after="0" w:line="240" w:lineRule="auto"/>
        <w:ind w:hanging="720"/>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tabs>
          <w:tab w:val="left" w:pos="3828"/>
        </w:tabs>
        <w:spacing w:after="0" w:line="240" w:lineRule="auto"/>
        <w:ind w:hanging="720"/>
        <w:jc w:val="both"/>
        <w:rPr>
          <w:color w:val="000000"/>
          <w:sz w:val="20"/>
          <w:szCs w:val="20"/>
        </w:rPr>
      </w:pPr>
      <w:r>
        <w:rPr>
          <w:sz w:val="20"/>
          <w:szCs w:val="20"/>
        </w:rPr>
        <w:tab/>
      </w:r>
      <w:r>
        <w:rPr>
          <w:color w:val="000000"/>
          <w:sz w:val="20"/>
          <w:szCs w:val="20"/>
        </w:rPr>
        <w:t xml:space="preserve">La presente guía apunta a que los aprendices estén en condiciones de comprender </w:t>
      </w:r>
      <w:r>
        <w:rPr>
          <w:sz w:val="20"/>
          <w:szCs w:val="20"/>
        </w:rPr>
        <w:t xml:space="preserve">los mecanismos de exigibilidad de los derechos del trabajo contenidos en las normas nacionales e internacionales, la necesidad e importancia del derecho de asociación y sindicalización, así como de la autonomía en el plan de acción y proyección de las organizaciones sindicales; Identificando situaciones de violación de derechos laborales individuales y colectivos y elaborando Derechos de Petición, acciones de tutela y liquidaciones de prestaciones sociales </w:t>
      </w:r>
      <w:r>
        <w:rPr>
          <w:color w:val="000000"/>
          <w:sz w:val="20"/>
          <w:szCs w:val="20"/>
        </w:rPr>
        <w:t>y poner en práctica los derechos fundamentales en el trabajo de que son titulares, de acuerdo con la Constitución Política, los Convenios Internacionales, y demás normas laborales.</w:t>
      </w:r>
    </w:p>
    <w:p>
      <w:pPr>
        <w:tabs>
          <w:tab w:val="left" w:pos="4320"/>
          <w:tab w:val="left" w:pos="4485"/>
          <w:tab w:val="left" w:pos="5445"/>
        </w:tabs>
        <w:spacing w:line="240" w:lineRule="auto"/>
        <w:jc w:val="both"/>
        <w:rPr>
          <w:rFonts w:ascii="Arial" w:hAnsi="Arial" w:cs="Arial"/>
          <w:i/>
          <w:sz w:val="20"/>
          <w:szCs w:val="20"/>
          <w:lang w:val="es-MX"/>
        </w:rPr>
      </w:pPr>
    </w:p>
    <w:p>
      <w:pPr>
        <w:tabs>
          <w:tab w:val="left" w:pos="4320"/>
          <w:tab w:val="left" w:pos="4485"/>
          <w:tab w:val="left" w:pos="5445"/>
        </w:tabs>
        <w:jc w:val="both"/>
        <w:rPr>
          <w:rFonts w:ascii="Arial" w:hAnsi="Arial" w:cs="Arial"/>
          <w:b/>
          <w:sz w:val="20"/>
          <w:szCs w:val="20"/>
          <w:lang w:val="es-MX"/>
        </w:rPr>
      </w:pPr>
      <w:r>
        <w:rPr>
          <w:rFonts w:ascii="Arial" w:hAnsi="Arial" w:cs="Arial"/>
          <w:b/>
          <w:sz w:val="20"/>
          <w:szCs w:val="20"/>
          <w:lang w:val="es-MX"/>
        </w:rPr>
        <w:t>3.  FORMULACIÓN DE LAS ACTIVIDADES DE APRENDIZAJE</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jc w:val="both"/>
        <w:rPr>
          <w:color w:val="000000"/>
          <w:sz w:val="20"/>
          <w:szCs w:val="20"/>
        </w:rPr>
      </w:pPr>
      <w:r>
        <w:rPr>
          <w:color w:val="000000"/>
          <w:sz w:val="20"/>
          <w:szCs w:val="20"/>
        </w:rPr>
        <w:t>Participa de la lluvia de ideas sobre los derechos fundamentales</w:t>
      </w:r>
      <w:r>
        <w:rPr>
          <w:sz w:val="20"/>
          <w:szCs w:val="20"/>
        </w:rPr>
        <w:t xml:space="preserve"> en </w:t>
      </w:r>
      <w:r>
        <w:rPr>
          <w:color w:val="000000"/>
          <w:sz w:val="20"/>
          <w:szCs w:val="20"/>
        </w:rPr>
        <w:t xml:space="preserve">el trabajo, indicando en </w:t>
      </w:r>
      <w:r>
        <w:rPr>
          <w:sz w:val="20"/>
          <w:szCs w:val="20"/>
        </w:rPr>
        <w:t>qué</w:t>
      </w:r>
      <w:r>
        <w:rPr>
          <w:color w:val="000000"/>
          <w:sz w:val="20"/>
          <w:szCs w:val="20"/>
        </w:rPr>
        <w:t xml:space="preserve"> consiste el derecho, como surgió, y ante qui</w:t>
      </w:r>
      <w:r>
        <w:rPr>
          <w:sz w:val="20"/>
          <w:szCs w:val="20"/>
        </w:rPr>
        <w:t>é</w:t>
      </w:r>
      <w:r>
        <w:rPr>
          <w:color w:val="000000"/>
          <w:sz w:val="20"/>
          <w:szCs w:val="20"/>
        </w:rPr>
        <w:t>n se puede exigir su cumplimiento.</w:t>
      </w:r>
      <w:r>
        <w:rPr>
          <w:color w:val="FF0000"/>
          <w:sz w:val="20"/>
          <w:szCs w:val="20"/>
        </w:rPr>
        <w:t xml:space="preserve"> </w:t>
      </w:r>
      <w:r>
        <w:rPr>
          <w:color w:val="000000"/>
          <w:sz w:val="20"/>
          <w:szCs w:val="20"/>
        </w:rPr>
        <w:t xml:space="preserve">Es importante participar, controvertir, complementar y aportar ideas y conocimientos. </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hanging="720"/>
        <w:jc w:val="both"/>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ind w:hanging="720"/>
        <w:jc w:val="both"/>
        <w:rPr>
          <w:color w:val="000000"/>
          <w:sz w:val="20"/>
          <w:szCs w:val="20"/>
        </w:rPr>
      </w:pPr>
      <w:r>
        <w:rPr>
          <w:sz w:val="20"/>
          <w:szCs w:val="20"/>
        </w:rPr>
        <w:tab/>
      </w:r>
      <w:r>
        <w:rPr>
          <w:color w:val="000000"/>
          <w:sz w:val="20"/>
          <w:szCs w:val="20"/>
        </w:rPr>
        <w:t xml:space="preserve">Atienda la exposición referente a los Derechos </w:t>
      </w:r>
      <w:r>
        <w:rPr>
          <w:sz w:val="20"/>
          <w:szCs w:val="20"/>
        </w:rPr>
        <w:t>Fundamentales</w:t>
      </w:r>
      <w:r>
        <w:rPr>
          <w:color w:val="000000"/>
          <w:sz w:val="20"/>
          <w:szCs w:val="20"/>
        </w:rPr>
        <w:t xml:space="preserve"> </w:t>
      </w:r>
      <w:r>
        <w:rPr>
          <w:sz w:val="20"/>
          <w:szCs w:val="20"/>
        </w:rPr>
        <w:t xml:space="preserve">en </w:t>
      </w:r>
      <w:r>
        <w:rPr>
          <w:color w:val="000000"/>
          <w:sz w:val="20"/>
          <w:szCs w:val="20"/>
        </w:rPr>
        <w:t xml:space="preserve">el Trabajo en la Constitución Política de Colombia y el Código Sustantivo del trabajo. </w:t>
      </w:r>
    </w:p>
    <w:p>
      <w:pPr>
        <w:tabs>
          <w:tab w:val="left" w:pos="4320"/>
          <w:tab w:val="left" w:pos="4485"/>
          <w:tab w:val="left" w:pos="5445"/>
        </w:tabs>
        <w:spacing w:after="0"/>
        <w:jc w:val="both"/>
        <w:rPr>
          <w:sz w:val="20"/>
          <w:szCs w:val="20"/>
        </w:rPr>
      </w:pPr>
      <w:r>
        <w:rPr>
          <w:sz w:val="20"/>
          <w:szCs w:val="20"/>
        </w:rPr>
        <w:t>Sobre el caso asignado por el instructor trabaje en grupo de 3 compañeros y determinen cuáles son los  los derechos de los trabajadores que no se cumplen,  así como sus respectivas cuantías. Preparen una cartelera donde presenten sus conclusiones.  Los resultados de los talleres serán expuestos y debatidos.</w:t>
      </w:r>
    </w:p>
    <w:p>
      <w:pPr>
        <w:pBdr>
          <w:top w:val="none" w:color="auto" w:sz="0" w:space="0"/>
          <w:left w:val="none" w:color="auto" w:sz="0" w:space="0"/>
          <w:bottom w:val="none" w:color="auto" w:sz="0" w:space="0"/>
          <w:right w:val="none" w:color="auto" w:sz="0" w:space="0"/>
          <w:between w:val="none" w:color="auto" w:sz="0" w:space="0"/>
        </w:pBdr>
        <w:spacing w:after="0" w:line="240" w:lineRule="auto"/>
        <w:ind w:left="284" w:hanging="284"/>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ind w:hanging="720"/>
        <w:jc w:val="both"/>
        <w:rPr>
          <w:color w:val="000000"/>
          <w:sz w:val="20"/>
          <w:szCs w:val="20"/>
        </w:rPr>
      </w:pPr>
      <w:r>
        <w:rPr>
          <w:sz w:val="20"/>
          <w:szCs w:val="20"/>
        </w:rPr>
        <w:tab/>
      </w:r>
      <w:r>
        <w:rPr>
          <w:color w:val="000000"/>
          <w:sz w:val="20"/>
          <w:szCs w:val="20"/>
        </w:rPr>
        <w:t xml:space="preserve">Atienda la exposición del instructor sobre los sistemas de protección de derechos </w:t>
      </w:r>
      <w:r>
        <w:rPr>
          <w:sz w:val="20"/>
          <w:szCs w:val="20"/>
        </w:rPr>
        <w:t xml:space="preserve">fundamentales en </w:t>
      </w:r>
      <w:r>
        <w:rPr>
          <w:color w:val="000000"/>
          <w:sz w:val="20"/>
          <w:szCs w:val="20"/>
        </w:rPr>
        <w:t xml:space="preserve">el trabajo (OIT – CIDH - CP), así como de sus principales normas, instrumentos y formas de poner en acción dichos sistemas, incluyendo el Derecho de Petición y la acción de Tutela tanto como los pasos de creación de una organización sindical y el inicio de un conflicto colectivo (pliego de peticiones). </w:t>
      </w:r>
    </w:p>
    <w:p>
      <w:pPr>
        <w:tabs>
          <w:tab w:val="left" w:pos="4320"/>
          <w:tab w:val="left" w:pos="4485"/>
          <w:tab w:val="left" w:pos="5445"/>
        </w:tabs>
        <w:jc w:val="both"/>
        <w:rPr>
          <w:sz w:val="20"/>
          <w:szCs w:val="20"/>
        </w:rPr>
      </w:pPr>
      <w:r>
        <w:rPr>
          <w:sz w:val="20"/>
          <w:szCs w:val="20"/>
        </w:rPr>
        <w:t>Elabore un mapa conceptual donde presente cuales pueden ser las acciones de la OIT – CIDH – CP frente a una violación de derechos del trabajo</w:t>
      </w: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hanging="720"/>
        <w:jc w:val="both"/>
        <w:rPr>
          <w:color w:val="000000"/>
          <w:sz w:val="20"/>
          <w:szCs w:val="20"/>
        </w:rPr>
      </w:pPr>
      <w:r>
        <w:rPr>
          <w:sz w:val="20"/>
          <w:szCs w:val="20"/>
        </w:rPr>
        <w:tab/>
      </w:r>
      <w:r>
        <w:rPr>
          <w:color w:val="000000"/>
          <w:sz w:val="20"/>
          <w:szCs w:val="20"/>
        </w:rPr>
        <w:t xml:space="preserve">Con la información de los documentos y video “Derecho de petición y acción de </w:t>
      </w:r>
      <w:r>
        <w:rPr>
          <w:sz w:val="20"/>
          <w:szCs w:val="20"/>
        </w:rPr>
        <w:t>tutela</w:t>
      </w:r>
      <w:r>
        <w:rPr>
          <w:color w:val="000000"/>
          <w:sz w:val="20"/>
          <w:szCs w:val="20"/>
        </w:rPr>
        <w:t>”, “</w:t>
      </w:r>
      <w:r>
        <w:rPr>
          <w:sz w:val="20"/>
          <w:szCs w:val="20"/>
        </w:rPr>
        <w:t>Derecho de Petición</w:t>
      </w:r>
      <w:r>
        <w:rPr>
          <w:color w:val="000000"/>
          <w:sz w:val="20"/>
          <w:szCs w:val="20"/>
        </w:rPr>
        <w:t>” y “Queja”</w:t>
      </w:r>
      <w:r>
        <w:rPr>
          <w:sz w:val="20"/>
          <w:szCs w:val="20"/>
        </w:rPr>
        <w:t>,</w:t>
      </w:r>
      <w:r>
        <w:rPr>
          <w:color w:val="000000"/>
          <w:sz w:val="20"/>
          <w:szCs w:val="20"/>
        </w:rPr>
        <w:t xml:space="preserve"> elabore un cuadro comparativo en el cual enuncie las características de cada una, su aplicación y presentación. </w:t>
      </w:r>
    </w:p>
    <w:p>
      <w:pPr>
        <w:pBdr>
          <w:top w:val="none" w:color="auto" w:sz="0" w:space="0"/>
          <w:left w:val="none" w:color="auto" w:sz="0" w:space="0"/>
          <w:bottom w:val="none" w:color="auto" w:sz="0" w:space="0"/>
          <w:right w:val="none" w:color="auto" w:sz="0" w:space="0"/>
          <w:between w:val="none" w:color="auto" w:sz="0" w:space="0"/>
        </w:pBdr>
        <w:spacing w:after="0"/>
        <w:ind w:left="284" w:hanging="284"/>
        <w:rPr>
          <w:color w:val="000000"/>
          <w:sz w:val="20"/>
          <w:szCs w:val="20"/>
        </w:rPr>
      </w:pPr>
    </w:p>
    <w:p>
      <w:pPr>
        <w:pBdr>
          <w:top w:val="none" w:color="auto" w:sz="0" w:space="0"/>
          <w:left w:val="none" w:color="auto" w:sz="0" w:space="0"/>
          <w:bottom w:val="none" w:color="auto" w:sz="0" w:space="0"/>
          <w:right w:val="none" w:color="auto" w:sz="0" w:space="0"/>
          <w:between w:val="none" w:color="auto" w:sz="0" w:space="0"/>
        </w:pBdr>
        <w:tabs>
          <w:tab w:val="left" w:pos="4320"/>
          <w:tab w:val="left" w:pos="4485"/>
          <w:tab w:val="left" w:pos="5445"/>
        </w:tabs>
        <w:spacing w:after="0"/>
        <w:ind w:hanging="720"/>
        <w:jc w:val="both"/>
        <w:rPr>
          <w:color w:val="000000"/>
          <w:sz w:val="20"/>
          <w:szCs w:val="20"/>
        </w:rPr>
      </w:pPr>
      <w:r>
        <w:rPr>
          <w:sz w:val="20"/>
          <w:szCs w:val="20"/>
        </w:rPr>
        <w:tab/>
      </w:r>
      <w:r>
        <w:rPr>
          <w:color w:val="000000"/>
          <w:sz w:val="20"/>
          <w:szCs w:val="20"/>
        </w:rPr>
        <w:t xml:space="preserve">Elabore un texto de no más de una hoja en el cual presente los argumentos personales frente a uno de los siguientes tres temas: a) Importancia del derecho de asociación; b) Derecho de huelga c) Desafíos del derecho del trabajo en el mundo moderno. </w:t>
      </w: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r>
        <w:rPr>
          <w:rFonts w:ascii="Arial" w:hAnsi="Arial" w:cs="Arial"/>
          <w:b/>
          <w:color w:val="000000" w:themeColor="text1"/>
          <w:sz w:val="20"/>
          <w:szCs w:val="20"/>
          <w14:textFill>
            <w14:solidFill>
              <w14:schemeClr w14:val="tx1"/>
            </w14:solidFill>
          </w14:textFill>
        </w:rPr>
        <w:t>4. ACTIVIDADES DE EVALUACIÓN</w:t>
      </w: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 xml:space="preserve">Tome como referencia la técnica e instrumentos de evaluación citados en la guía de Desarrollo Curricular </w:t>
      </w:r>
    </w:p>
    <w:p>
      <w:pPr>
        <w:spacing w:after="0" w:line="240" w:lineRule="auto"/>
        <w:jc w:val="both"/>
        <w:rPr>
          <w:rFonts w:ascii="Arial" w:hAnsi="Arial" w:cs="Arial"/>
          <w:b/>
          <w:color w:val="000000" w:themeColor="text1"/>
          <w:sz w:val="20"/>
          <w:szCs w:val="20"/>
          <w14:textFill>
            <w14:solidFill>
              <w14:schemeClr w14:val="tx1"/>
            </w14:solidFill>
          </w14:textFill>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95"/>
        <w:gridCol w:w="310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0" w:type="auto"/>
            <w:shd w:val="clear" w:color="auto" w:fill="A5A5A5" w:themeFill="background1" w:themeFillShade="A6"/>
          </w:tcPr>
          <w:p>
            <w:pPr>
              <w:jc w:val="center"/>
              <w:rPr>
                <w:rFonts w:ascii="Arial" w:hAnsi="Arial" w:cs="Arial"/>
                <w:b/>
                <w:sz w:val="20"/>
                <w:szCs w:val="20"/>
              </w:rPr>
            </w:pPr>
            <w:r>
              <w:rPr>
                <w:rFonts w:ascii="Arial" w:hAnsi="Arial" w:cs="Arial"/>
                <w:b/>
                <w:sz w:val="20"/>
                <w:szCs w:val="20"/>
              </w:rPr>
              <w:t>Evidencias de Aprendizaje</w:t>
            </w:r>
          </w:p>
        </w:tc>
        <w:tc>
          <w:tcPr>
            <w:tcW w:w="3100" w:type="dxa"/>
            <w:shd w:val="clear" w:color="auto" w:fill="A5A5A5" w:themeFill="background1" w:themeFillShade="A6"/>
          </w:tcPr>
          <w:p>
            <w:pPr>
              <w:jc w:val="center"/>
              <w:rPr>
                <w:rFonts w:ascii="Arial" w:hAnsi="Arial" w:cs="Arial"/>
                <w:b/>
                <w:sz w:val="20"/>
                <w:szCs w:val="20"/>
              </w:rPr>
            </w:pPr>
            <w:r>
              <w:rPr>
                <w:rFonts w:ascii="Arial" w:hAnsi="Arial" w:cs="Arial"/>
                <w:b/>
                <w:sz w:val="20"/>
                <w:szCs w:val="20"/>
              </w:rPr>
              <w:t>Criterios de Evaluación</w:t>
            </w:r>
          </w:p>
        </w:tc>
        <w:tc>
          <w:tcPr>
            <w:tcW w:w="3260" w:type="dxa"/>
            <w:shd w:val="clear" w:color="auto" w:fill="A5A5A5" w:themeFill="background1" w:themeFillShade="A6"/>
          </w:tcPr>
          <w:p>
            <w:pPr>
              <w:jc w:val="center"/>
              <w:rPr>
                <w:rFonts w:ascii="Arial" w:hAnsi="Arial" w:cs="Arial"/>
                <w:b/>
                <w:sz w:val="20"/>
                <w:szCs w:val="20"/>
              </w:rPr>
            </w:pPr>
            <w:r>
              <w:rPr>
                <w:rFonts w:ascii="Arial" w:hAnsi="Arial" w:cs="Arial"/>
                <w:b/>
                <w:sz w:val="20"/>
                <w:szCs w:val="20"/>
              </w:rPr>
              <w:t>Técnicas e Instrumentos de Evaluación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rFonts w:cs="Calibri"/>
                <w:b/>
                <w:sz w:val="20"/>
                <w:szCs w:val="20"/>
              </w:rPr>
            </w:pPr>
            <w:r>
              <w:rPr>
                <w:rFonts w:cs="Calibri"/>
                <w:b/>
                <w:sz w:val="20"/>
                <w:szCs w:val="20"/>
              </w:rPr>
              <w:t>Evidencias de Conocimiento:</w:t>
            </w:r>
          </w:p>
          <w:p>
            <w:pPr>
              <w:rPr>
                <w:rFonts w:cs="Calibri"/>
                <w:sz w:val="20"/>
                <w:szCs w:val="20"/>
              </w:rPr>
            </w:pPr>
            <w:r>
              <w:rPr>
                <w:rFonts w:cs="Calibri"/>
                <w:sz w:val="20"/>
                <w:szCs w:val="20"/>
              </w:rPr>
              <w:t xml:space="preserve">Prueba de conocimientos sobre sistemas de protección y normas de los derechos fundamentales del trabajo </w:t>
            </w:r>
          </w:p>
          <w:p>
            <w:pPr>
              <w:rPr>
                <w:rFonts w:cs="Calibri"/>
                <w:sz w:val="20"/>
                <w:szCs w:val="20"/>
              </w:rPr>
            </w:pPr>
            <w:r>
              <w:rPr>
                <w:rFonts w:cs="Calibri"/>
                <w:sz w:val="20"/>
                <w:szCs w:val="20"/>
              </w:rPr>
              <w:t>Mapa conceptual</w:t>
            </w:r>
          </w:p>
          <w:p>
            <w:pPr>
              <w:rPr>
                <w:rFonts w:cs="Calibri"/>
                <w:b/>
                <w:sz w:val="20"/>
                <w:szCs w:val="20"/>
              </w:rPr>
            </w:pPr>
          </w:p>
          <w:p>
            <w:pPr>
              <w:rPr>
                <w:rFonts w:cs="Calibri"/>
                <w:b/>
                <w:sz w:val="20"/>
                <w:szCs w:val="20"/>
              </w:rPr>
            </w:pPr>
          </w:p>
          <w:p>
            <w:pPr>
              <w:rPr>
                <w:rFonts w:cs="Calibri"/>
                <w:b/>
                <w:sz w:val="20"/>
                <w:szCs w:val="20"/>
              </w:rPr>
            </w:pPr>
            <w:r>
              <w:rPr>
                <w:rFonts w:cs="Calibri"/>
                <w:b/>
                <w:sz w:val="20"/>
                <w:szCs w:val="20"/>
              </w:rPr>
              <w:t>Evidencias de Desempeño</w:t>
            </w:r>
          </w:p>
          <w:p>
            <w:pPr>
              <w:rPr>
                <w:rFonts w:cs="Calibri"/>
                <w:sz w:val="20"/>
                <w:szCs w:val="20"/>
              </w:rPr>
            </w:pPr>
            <w:r>
              <w:rPr>
                <w:rFonts w:cs="Calibri"/>
                <w:sz w:val="20"/>
                <w:szCs w:val="20"/>
              </w:rPr>
              <w:t>Resolución de un caso</w:t>
            </w:r>
          </w:p>
          <w:p>
            <w:pPr>
              <w:rPr>
                <w:rFonts w:cs="Calibri"/>
                <w:b/>
                <w:sz w:val="20"/>
                <w:szCs w:val="20"/>
              </w:rPr>
            </w:pPr>
          </w:p>
          <w:p>
            <w:pPr>
              <w:rPr>
                <w:rFonts w:cs="Calibri"/>
                <w:sz w:val="20"/>
                <w:szCs w:val="20"/>
              </w:rPr>
            </w:pPr>
            <w:r>
              <w:rPr>
                <w:rFonts w:cs="Calibri"/>
                <w:sz w:val="20"/>
                <w:szCs w:val="20"/>
              </w:rPr>
              <w:t xml:space="preserve">Cuadro </w:t>
            </w:r>
          </w:p>
          <w:p>
            <w:pPr>
              <w:rPr>
                <w:rFonts w:cs="Calibri"/>
                <w:b/>
                <w:sz w:val="20"/>
                <w:szCs w:val="20"/>
              </w:rPr>
            </w:pPr>
          </w:p>
          <w:p>
            <w:pPr>
              <w:rPr>
                <w:rFonts w:cs="Calibri"/>
                <w:b/>
                <w:sz w:val="20"/>
                <w:szCs w:val="20"/>
              </w:rPr>
            </w:pPr>
            <w:r>
              <w:rPr>
                <w:rFonts w:cs="Calibri"/>
                <w:b/>
                <w:sz w:val="20"/>
                <w:szCs w:val="20"/>
              </w:rPr>
              <w:t>Evidencias de Producto:</w:t>
            </w:r>
          </w:p>
          <w:p>
            <w:pPr>
              <w:rPr>
                <w:rFonts w:cs="Calibri"/>
                <w:sz w:val="20"/>
                <w:szCs w:val="20"/>
              </w:rPr>
            </w:pPr>
            <w:r>
              <w:rPr>
                <w:rFonts w:cs="Calibri"/>
                <w:sz w:val="20"/>
                <w:szCs w:val="20"/>
              </w:rPr>
              <w:t xml:space="preserve"> Cartelera </w:t>
            </w:r>
          </w:p>
          <w:p>
            <w:pPr>
              <w:rPr>
                <w:rFonts w:cs="Calibri"/>
                <w:sz w:val="20"/>
                <w:szCs w:val="20"/>
              </w:rPr>
            </w:pPr>
            <w:r>
              <w:rPr>
                <w:rFonts w:cs="Calibri"/>
                <w:sz w:val="20"/>
                <w:szCs w:val="20"/>
              </w:rPr>
              <w:t>Texto</w:t>
            </w:r>
          </w:p>
          <w:p>
            <w:pPr>
              <w:rPr>
                <w:rFonts w:ascii="Arial" w:hAnsi="Arial" w:cs="Arial"/>
                <w:b/>
                <w:sz w:val="20"/>
                <w:szCs w:val="20"/>
              </w:rPr>
            </w:pPr>
          </w:p>
        </w:tc>
        <w:tc>
          <w:tcPr>
            <w:tcW w:w="3100" w:type="dxa"/>
          </w:tcPr>
          <w:p>
            <w:pPr>
              <w:rPr>
                <w:rFonts w:cs="Calibri"/>
                <w:sz w:val="20"/>
                <w:szCs w:val="20"/>
              </w:rPr>
            </w:pPr>
            <w:r>
              <w:rPr>
                <w:rFonts w:cs="Calibri"/>
                <w:sz w:val="20"/>
                <w:szCs w:val="20"/>
              </w:rPr>
              <w:t>Respuestas acertadas a preguntas de comprensión evocación y aplicación sobre normas y los derechos del trabajo</w:t>
            </w:r>
          </w:p>
          <w:p>
            <w:pPr>
              <w:rPr>
                <w:rFonts w:cs="Calibri"/>
                <w:sz w:val="20"/>
                <w:szCs w:val="20"/>
              </w:rPr>
            </w:pPr>
            <w:r>
              <w:rPr>
                <w:rFonts w:cs="Calibri"/>
                <w:sz w:val="20"/>
                <w:szCs w:val="20"/>
              </w:rPr>
              <w:t>Comprende cuales son los sistemas de protección de Derechos fundamentales del Trabajo, las NIT y sus instrumentos.</w:t>
            </w:r>
          </w:p>
          <w:p>
            <w:pPr>
              <w:rPr>
                <w:rFonts w:cs="Calibri"/>
                <w:sz w:val="20"/>
                <w:szCs w:val="20"/>
              </w:rPr>
            </w:pPr>
          </w:p>
          <w:p>
            <w:pPr>
              <w:rPr>
                <w:rFonts w:cs="Calibri"/>
                <w:sz w:val="20"/>
                <w:szCs w:val="20"/>
              </w:rPr>
            </w:pPr>
            <w:r>
              <w:rPr>
                <w:rFonts w:cs="Calibri"/>
                <w:sz w:val="20"/>
                <w:szCs w:val="20"/>
              </w:rPr>
              <w:t>Determina, ante un caso concreto, qué derechos prestacionales le adeudan a un trabajador.</w:t>
            </w:r>
          </w:p>
          <w:p>
            <w:pPr>
              <w:rPr>
                <w:rFonts w:cs="Calibri"/>
                <w:sz w:val="20"/>
                <w:szCs w:val="20"/>
              </w:rPr>
            </w:pPr>
            <w:r>
              <w:rPr>
                <w:rFonts w:cs="Calibri"/>
                <w:sz w:val="20"/>
                <w:szCs w:val="20"/>
              </w:rPr>
              <w:t xml:space="preserve">Clasifica los elementos básicos de un Derecho de Petición, una Acción de Tutela y una queja </w:t>
            </w:r>
          </w:p>
          <w:p>
            <w:pPr>
              <w:rPr>
                <w:rFonts w:cs="Calibri"/>
                <w:sz w:val="20"/>
                <w:szCs w:val="20"/>
              </w:rPr>
            </w:pPr>
            <w:r>
              <w:rPr>
                <w:rFonts w:cs="Calibri"/>
                <w:sz w:val="20"/>
                <w:szCs w:val="20"/>
              </w:rPr>
              <w:t>Determina el incumplimiento de derechos en un caso dado</w:t>
            </w:r>
          </w:p>
          <w:p>
            <w:pPr>
              <w:rPr>
                <w:rFonts w:ascii="Arial" w:hAnsi="Arial" w:cs="Arial"/>
                <w:b/>
                <w:sz w:val="20"/>
                <w:szCs w:val="20"/>
              </w:rPr>
            </w:pPr>
            <w:r>
              <w:rPr>
                <w:rFonts w:cs="Calibri"/>
                <w:sz w:val="20"/>
                <w:szCs w:val="20"/>
              </w:rPr>
              <w:t>Determina la importancia del derecho de asociación, derecho de huelga o desafíos del derecho del trabajo en el mundo moderno.</w:t>
            </w:r>
          </w:p>
        </w:tc>
        <w:tc>
          <w:tcPr>
            <w:tcW w:w="3260" w:type="dxa"/>
          </w:tcPr>
          <w:p>
            <w:pPr>
              <w:jc w:val="center"/>
              <w:rPr>
                <w:rFonts w:cs="Calibri"/>
                <w:sz w:val="20"/>
                <w:szCs w:val="20"/>
              </w:rPr>
            </w:pPr>
            <w:r>
              <w:rPr>
                <w:rFonts w:cs="Calibri"/>
                <w:sz w:val="20"/>
                <w:szCs w:val="20"/>
              </w:rPr>
              <w:t>Formulación de preguntas</w:t>
            </w:r>
          </w:p>
          <w:p>
            <w:pPr>
              <w:jc w:val="center"/>
              <w:rPr>
                <w:rFonts w:cs="Calibri"/>
                <w:sz w:val="20"/>
                <w:szCs w:val="20"/>
              </w:rPr>
            </w:pPr>
            <w:r>
              <w:rPr>
                <w:rFonts w:cs="Calibri"/>
                <w:sz w:val="20"/>
                <w:szCs w:val="20"/>
              </w:rPr>
              <w:t>Cuestionario</w:t>
            </w:r>
          </w:p>
          <w:p>
            <w:pPr>
              <w:jc w:val="center"/>
              <w:rPr>
                <w:rFonts w:cs="Calibri"/>
                <w:sz w:val="20"/>
                <w:szCs w:val="20"/>
              </w:rPr>
            </w:pPr>
          </w:p>
          <w:p>
            <w:pPr>
              <w:jc w:val="center"/>
              <w:rPr>
                <w:rFonts w:cs="Calibri"/>
                <w:sz w:val="20"/>
                <w:szCs w:val="20"/>
              </w:rPr>
            </w:pPr>
            <w:r>
              <w:rPr>
                <w:rFonts w:cs="Calibri"/>
                <w:sz w:val="20"/>
                <w:szCs w:val="20"/>
              </w:rPr>
              <w:t>Elaboración de mapa conceptual.</w:t>
            </w:r>
          </w:p>
          <w:p>
            <w:pPr>
              <w:jc w:val="center"/>
              <w:rPr>
                <w:rFonts w:cs="Calibri"/>
                <w:sz w:val="20"/>
                <w:szCs w:val="20"/>
              </w:rPr>
            </w:pPr>
            <w:r>
              <w:rPr>
                <w:rFonts w:cs="Calibri"/>
                <w:sz w:val="20"/>
                <w:szCs w:val="20"/>
              </w:rPr>
              <w:t>Rúbrica</w:t>
            </w:r>
          </w:p>
          <w:p>
            <w:pPr>
              <w:jc w:val="center"/>
              <w:rPr>
                <w:rFonts w:cs="Calibri"/>
                <w:sz w:val="20"/>
                <w:szCs w:val="20"/>
              </w:rPr>
            </w:pPr>
          </w:p>
          <w:p>
            <w:pPr>
              <w:jc w:val="center"/>
              <w:rPr>
                <w:rFonts w:cs="Calibri"/>
                <w:sz w:val="20"/>
                <w:szCs w:val="20"/>
              </w:rPr>
            </w:pPr>
          </w:p>
          <w:p>
            <w:pPr>
              <w:jc w:val="center"/>
              <w:rPr>
                <w:rFonts w:cs="Calibri"/>
                <w:sz w:val="20"/>
                <w:szCs w:val="20"/>
              </w:rPr>
            </w:pPr>
            <w:r>
              <w:rPr>
                <w:rFonts w:cs="Calibri"/>
                <w:sz w:val="20"/>
                <w:szCs w:val="20"/>
              </w:rPr>
              <w:t>Taller con estudio del caso</w:t>
            </w:r>
          </w:p>
          <w:p>
            <w:pPr>
              <w:jc w:val="center"/>
              <w:rPr>
                <w:rFonts w:cs="Calibri"/>
                <w:sz w:val="20"/>
                <w:szCs w:val="20"/>
              </w:rPr>
            </w:pPr>
          </w:p>
          <w:p>
            <w:pPr>
              <w:jc w:val="center"/>
              <w:rPr>
                <w:rFonts w:cs="Calibri"/>
                <w:sz w:val="20"/>
                <w:szCs w:val="20"/>
              </w:rPr>
            </w:pPr>
            <w:r>
              <w:rPr>
                <w:rFonts w:cs="Calibri"/>
                <w:sz w:val="20"/>
                <w:szCs w:val="20"/>
              </w:rPr>
              <w:t>Cuadro comparativo</w:t>
            </w:r>
          </w:p>
          <w:p>
            <w:pPr>
              <w:jc w:val="center"/>
              <w:rPr>
                <w:rFonts w:cs="Calibri"/>
                <w:sz w:val="20"/>
                <w:szCs w:val="20"/>
              </w:rPr>
            </w:pPr>
          </w:p>
          <w:p>
            <w:pPr>
              <w:spacing w:after="0" w:line="240" w:lineRule="auto"/>
              <w:jc w:val="center"/>
              <w:rPr>
                <w:rFonts w:cs="Calibri"/>
                <w:sz w:val="20"/>
                <w:szCs w:val="20"/>
              </w:rPr>
            </w:pPr>
            <w:r>
              <w:rPr>
                <w:rFonts w:cs="Calibri"/>
                <w:sz w:val="20"/>
                <w:szCs w:val="20"/>
              </w:rPr>
              <w:t>Representación Gráfica</w:t>
            </w:r>
          </w:p>
          <w:p>
            <w:pPr>
              <w:jc w:val="center"/>
              <w:rPr>
                <w:rFonts w:ascii="Arial" w:hAnsi="Arial" w:cs="Arial"/>
                <w:b/>
                <w:sz w:val="20"/>
                <w:szCs w:val="20"/>
              </w:rPr>
            </w:pPr>
            <w:r>
              <w:rPr>
                <w:rFonts w:cs="Calibri"/>
                <w:sz w:val="20"/>
                <w:szCs w:val="20"/>
              </w:rPr>
              <w:t>Texto argumentativo y lista de chequeo.</w:t>
            </w:r>
          </w:p>
        </w:tc>
      </w:tr>
    </w:tbl>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jc w:val="both"/>
        <w:rPr>
          <w:rFonts w:ascii="Arial" w:hAnsi="Arial" w:cs="Arial"/>
          <w:b/>
          <w:sz w:val="20"/>
          <w:szCs w:val="20"/>
        </w:rPr>
      </w:pPr>
      <w:r>
        <w:rPr>
          <w:rFonts w:ascii="Arial" w:hAnsi="Arial" w:cs="Arial"/>
          <w:b/>
          <w:sz w:val="20"/>
          <w:szCs w:val="20"/>
        </w:rPr>
        <w:t>5. GLOSARIO DE TÉRMINOS</w:t>
      </w:r>
    </w:p>
    <w:p>
      <w:pPr>
        <w:spacing w:after="0" w:line="240" w:lineRule="auto"/>
        <w:jc w:val="both"/>
        <w:rPr>
          <w:sz w:val="20"/>
          <w:szCs w:val="20"/>
        </w:rPr>
      </w:pPr>
      <w:r>
        <w:rPr>
          <w:b/>
          <w:color w:val="222222"/>
          <w:sz w:val="20"/>
          <w:szCs w:val="20"/>
          <w:highlight w:val="white"/>
        </w:rPr>
        <w:t>Acción de Tutela</w:t>
      </w:r>
      <w:r>
        <w:rPr>
          <w:color w:val="222222"/>
          <w:sz w:val="20"/>
          <w:szCs w:val="20"/>
          <w:highlight w:val="white"/>
        </w:rPr>
        <w:t>: Es la garantía constitucional que tiene toda persona a la protección judicial de sus derechos fundamentales a través de un recurso efectivo. La constitución señala claramente que: "La protección consistirá en una orden para aquél respecto de quien se solicita la tutela, actúe o se abstenga de hacerlo".</w:t>
      </w:r>
    </w:p>
    <w:p>
      <w:pPr>
        <w:spacing w:after="0" w:line="240" w:lineRule="auto"/>
        <w:jc w:val="both"/>
        <w:rPr>
          <w:b/>
          <w:color w:val="222222"/>
          <w:sz w:val="20"/>
          <w:szCs w:val="20"/>
          <w:highlight w:val="white"/>
        </w:rPr>
      </w:pPr>
    </w:p>
    <w:p>
      <w:pPr>
        <w:spacing w:after="0" w:line="240" w:lineRule="auto"/>
        <w:jc w:val="both"/>
        <w:rPr>
          <w:sz w:val="20"/>
          <w:szCs w:val="20"/>
        </w:rPr>
      </w:pPr>
      <w:r>
        <w:rPr>
          <w:b/>
          <w:color w:val="222222"/>
          <w:sz w:val="20"/>
          <w:szCs w:val="20"/>
          <w:highlight w:val="white"/>
        </w:rPr>
        <w:t>Derecho Laboral</w:t>
      </w:r>
      <w:r>
        <w:rPr>
          <w:color w:val="222222"/>
          <w:sz w:val="20"/>
          <w:szCs w:val="20"/>
          <w:highlight w:val="white"/>
        </w:rPr>
        <w:t>: El derecho laboral (también conocido como derecho del trabajo o derecho social) es una rama del </w:t>
      </w:r>
      <w:r>
        <w:rPr>
          <w:b/>
          <w:color w:val="222222"/>
          <w:sz w:val="20"/>
          <w:szCs w:val="20"/>
          <w:highlight w:val="white"/>
        </w:rPr>
        <w:t>derecho</w:t>
      </w:r>
      <w:r>
        <w:rPr>
          <w:color w:val="222222"/>
          <w:sz w:val="20"/>
          <w:szCs w:val="20"/>
          <w:highlight w:val="white"/>
        </w:rPr>
        <w:t> cuyos principios y normas jurídicas tienen por objeto la tutela del trabajo humano realizado en forma libre, por cuenta ajena, en relación de dependencia y a cambio de una contraprestación.</w:t>
      </w:r>
    </w:p>
    <w:p>
      <w:pPr>
        <w:spacing w:after="0" w:line="240" w:lineRule="auto"/>
        <w:jc w:val="both"/>
        <w:rPr>
          <w:color w:val="222222"/>
          <w:sz w:val="20"/>
          <w:szCs w:val="20"/>
          <w:highlight w:val="white"/>
        </w:rPr>
      </w:pPr>
    </w:p>
    <w:p>
      <w:pPr>
        <w:spacing w:after="0" w:line="240" w:lineRule="auto"/>
        <w:jc w:val="both"/>
        <w:rPr>
          <w:color w:val="222222"/>
          <w:sz w:val="20"/>
          <w:szCs w:val="20"/>
          <w:highlight w:val="white"/>
        </w:rPr>
      </w:pPr>
      <w:r>
        <w:rPr>
          <w:b/>
          <w:color w:val="222222"/>
          <w:sz w:val="20"/>
          <w:szCs w:val="20"/>
          <w:highlight w:val="white"/>
        </w:rPr>
        <w:t>Derecho de petición</w:t>
      </w:r>
      <w:r>
        <w:rPr>
          <w:color w:val="222222"/>
          <w:sz w:val="20"/>
          <w:szCs w:val="20"/>
          <w:highlight w:val="white"/>
        </w:rPr>
        <w:t xml:space="preserve">: es aquel derecho que tiene toda persona individual o jurídica, grupo, organización o asociación para solicitar información, documentación, o reclamar ante las autoridades competentes -normalmente los gobiernos o entidades públicas-, o ante quien se encuentre en estado de subordinación, como el empleador, por razones </w:t>
      </w:r>
      <w:r>
        <w:rPr>
          <w:sz w:val="20"/>
          <w:szCs w:val="20"/>
          <w:highlight w:val="white"/>
        </w:rPr>
        <w:t>de </w:t>
      </w:r>
      <w:r>
        <w:fldChar w:fldCharType="begin"/>
      </w:r>
      <w:r>
        <w:instrText xml:space="preserve"> HYPERLINK "https://es.wikipedia.org/wiki/Inter%C3%A9s_p%C3%BAblico" \h </w:instrText>
      </w:r>
      <w:r>
        <w:fldChar w:fldCharType="separate"/>
      </w:r>
      <w:r>
        <w:rPr>
          <w:sz w:val="20"/>
          <w:szCs w:val="20"/>
          <w:highlight w:val="white"/>
        </w:rPr>
        <w:t>interés público</w:t>
      </w:r>
      <w:r>
        <w:rPr>
          <w:sz w:val="20"/>
          <w:szCs w:val="20"/>
          <w:highlight w:val="white"/>
        </w:rPr>
        <w:fldChar w:fldCharType="end"/>
      </w:r>
      <w:r>
        <w:rPr>
          <w:sz w:val="20"/>
          <w:szCs w:val="20"/>
          <w:highlight w:val="white"/>
        </w:rPr>
        <w:t> </w:t>
      </w:r>
      <w:r>
        <w:rPr>
          <w:color w:val="222222"/>
          <w:sz w:val="20"/>
          <w:szCs w:val="20"/>
          <w:highlight w:val="white"/>
        </w:rPr>
        <w:t>o particular, ya sea que se haga de forma individual, general o colectivo.</w:t>
      </w:r>
    </w:p>
    <w:p>
      <w:pPr>
        <w:spacing w:after="0" w:line="240" w:lineRule="auto"/>
        <w:jc w:val="both"/>
        <w:rPr>
          <w:sz w:val="20"/>
          <w:szCs w:val="20"/>
        </w:rPr>
      </w:pPr>
    </w:p>
    <w:p>
      <w:pPr>
        <w:spacing w:after="0" w:line="240" w:lineRule="auto"/>
        <w:jc w:val="both"/>
        <w:rPr>
          <w:sz w:val="20"/>
          <w:szCs w:val="20"/>
        </w:rPr>
      </w:pPr>
      <w:r>
        <w:rPr>
          <w:b/>
          <w:color w:val="000000"/>
          <w:sz w:val="20"/>
          <w:szCs w:val="20"/>
        </w:rPr>
        <w:t>Libertad sindical</w:t>
      </w:r>
      <w:r>
        <w:rPr>
          <w:color w:val="000000"/>
          <w:sz w:val="20"/>
          <w:szCs w:val="20"/>
        </w:rPr>
        <w:t xml:space="preserve">: </w:t>
      </w:r>
      <w:r>
        <w:rPr>
          <w:color w:val="222222"/>
          <w:sz w:val="20"/>
          <w:szCs w:val="20"/>
          <w:highlight w:val="white"/>
        </w:rPr>
        <w:t>La libertad sindical </w:t>
      </w:r>
      <w:r>
        <w:rPr>
          <w:sz w:val="20"/>
          <w:szCs w:val="20"/>
          <w:highlight w:val="white"/>
        </w:rPr>
        <w:t xml:space="preserve">es un derecho fundamental de los trabajadores y sus organizaciones para </w:t>
      </w:r>
      <w:r>
        <w:rPr>
          <w:color w:val="222222"/>
          <w:sz w:val="20"/>
          <w:szCs w:val="20"/>
          <w:highlight w:val="white"/>
        </w:rPr>
        <w:t>agruparse y defender sus intereses comunes. Cabe destacar que dicha noción comprende todos los atributos de la libertad sindical, tanto en perspectiva individual como colectiva, garantizando la actividad previa y necesaria para constituir sindicatos, debiendo reconocerse sus pilares que son </w:t>
      </w:r>
      <w:r>
        <w:rPr>
          <w:i/>
          <w:color w:val="222222"/>
          <w:sz w:val="20"/>
          <w:szCs w:val="20"/>
          <w:highlight w:val="white"/>
        </w:rPr>
        <w:t>organización</w:t>
      </w:r>
      <w:r>
        <w:rPr>
          <w:color w:val="222222"/>
          <w:sz w:val="20"/>
          <w:szCs w:val="20"/>
          <w:highlight w:val="white"/>
        </w:rPr>
        <w:t>, </w:t>
      </w:r>
      <w:r>
        <w:rPr>
          <w:i/>
          <w:color w:val="000000"/>
          <w:sz w:val="20"/>
          <w:szCs w:val="20"/>
          <w:highlight w:val="white"/>
        </w:rPr>
        <w:t>regulación</w:t>
      </w:r>
      <w:r>
        <w:rPr>
          <w:color w:val="000000"/>
          <w:sz w:val="20"/>
          <w:szCs w:val="20"/>
          <w:highlight w:val="white"/>
        </w:rPr>
        <w:t>, </w:t>
      </w:r>
      <w:r>
        <w:rPr>
          <w:i/>
          <w:color w:val="000000"/>
          <w:sz w:val="20"/>
          <w:szCs w:val="20"/>
          <w:highlight w:val="white"/>
        </w:rPr>
        <w:t>representación,</w:t>
      </w:r>
      <w:r>
        <w:rPr>
          <w:i/>
          <w:color w:val="000000"/>
          <w:sz w:val="20"/>
          <w:szCs w:val="20"/>
          <w:highlight w:val="white"/>
          <w:u w:val="single"/>
        </w:rPr>
        <w:t xml:space="preserve"> </w:t>
      </w:r>
      <w:r>
        <w:rPr>
          <w:i/>
          <w:color w:val="000000"/>
          <w:sz w:val="20"/>
          <w:szCs w:val="20"/>
          <w:highlight w:val="white"/>
        </w:rPr>
        <w:t>negociación</w:t>
      </w:r>
      <w:r>
        <w:rPr>
          <w:color w:val="000000"/>
          <w:sz w:val="20"/>
          <w:szCs w:val="20"/>
          <w:highlight w:val="white"/>
        </w:rPr>
        <w:t> y </w:t>
      </w:r>
      <w:r>
        <w:rPr>
          <w:i/>
          <w:color w:val="000000"/>
          <w:sz w:val="20"/>
          <w:szCs w:val="20"/>
          <w:highlight w:val="white"/>
        </w:rPr>
        <w:t>huelga</w:t>
      </w:r>
      <w:r>
        <w:rPr>
          <w:color w:val="000000"/>
          <w:sz w:val="20"/>
          <w:szCs w:val="20"/>
          <w:highlight w:val="white"/>
        </w:rPr>
        <w:t xml:space="preserve">, </w:t>
      </w:r>
      <w:r>
        <w:rPr>
          <w:color w:val="222222"/>
          <w:sz w:val="20"/>
          <w:szCs w:val="20"/>
          <w:highlight w:val="white"/>
        </w:rPr>
        <w:t>y su objeto, que es la </w:t>
      </w:r>
      <w:r>
        <w:rPr>
          <w:i/>
          <w:color w:val="222222"/>
          <w:sz w:val="20"/>
          <w:szCs w:val="20"/>
          <w:highlight w:val="white"/>
        </w:rPr>
        <w:t>defensa de los intereses comunes</w:t>
      </w:r>
      <w:r>
        <w:rPr>
          <w:color w:val="222222"/>
          <w:sz w:val="20"/>
          <w:szCs w:val="20"/>
          <w:highlight w:val="white"/>
        </w:rPr>
        <w:t>.</w:t>
      </w:r>
      <w:r>
        <w:rPr>
          <w:sz w:val="20"/>
          <w:szCs w:val="20"/>
        </w:rPr>
        <w:t xml:space="preserve"> </w:t>
      </w:r>
      <w:r>
        <w:rPr>
          <w:color w:val="000000"/>
          <w:sz w:val="20"/>
          <w:szCs w:val="20"/>
        </w:rPr>
        <w:t>La libertad sindical de los trabajadores para crear, organizar y afiliarse a sindicatos libremente y sin injerencias del Estado o de los empleadores, es considerada como un derecho humano fundamental, y así lo establece el artículo 39 de la Constitución Colombiana.</w:t>
      </w:r>
    </w:p>
    <w:p>
      <w:pPr>
        <w:spacing w:after="0" w:line="240" w:lineRule="auto"/>
        <w:jc w:val="both"/>
        <w:rPr>
          <w:b/>
          <w:sz w:val="20"/>
          <w:szCs w:val="20"/>
        </w:rPr>
      </w:pPr>
    </w:p>
    <w:p>
      <w:pPr>
        <w:spacing w:after="0" w:line="240" w:lineRule="auto"/>
        <w:jc w:val="both"/>
        <w:rPr>
          <w:color w:val="222222"/>
          <w:sz w:val="20"/>
          <w:szCs w:val="20"/>
          <w:highlight w:val="white"/>
        </w:rPr>
      </w:pPr>
      <w:r>
        <w:rPr>
          <w:b/>
          <w:sz w:val="20"/>
          <w:szCs w:val="20"/>
        </w:rPr>
        <w:t xml:space="preserve">Normas Internacionales del Trabajo: </w:t>
      </w:r>
      <w:r>
        <w:rPr>
          <w:color w:val="222222"/>
          <w:sz w:val="20"/>
          <w:szCs w:val="20"/>
          <w:highlight w:val="white"/>
        </w:rPr>
        <w:t>Las normas internacionales del trabajo (NIT) son instrumentos jurídicos elaborados por los mandantes (gobiernos, empleadores y trabajadores) de la Organización </w:t>
      </w:r>
      <w:r>
        <w:rPr>
          <w:b/>
          <w:color w:val="222222"/>
          <w:sz w:val="20"/>
          <w:szCs w:val="20"/>
          <w:highlight w:val="white"/>
        </w:rPr>
        <w:t>Internacional del Trabajo</w:t>
      </w:r>
      <w:r>
        <w:rPr>
          <w:color w:val="222222"/>
          <w:sz w:val="20"/>
          <w:szCs w:val="20"/>
          <w:highlight w:val="white"/>
        </w:rPr>
        <w:t>, en los que se sientan principios y derechos básicos en el trabajo.</w:t>
      </w:r>
    </w:p>
    <w:p>
      <w:pPr>
        <w:spacing w:after="0" w:line="240" w:lineRule="auto"/>
        <w:jc w:val="both"/>
        <w:rPr>
          <w:color w:val="222222"/>
          <w:sz w:val="20"/>
          <w:szCs w:val="20"/>
          <w:highlight w:val="white"/>
        </w:rPr>
      </w:pPr>
    </w:p>
    <w:p>
      <w:pPr>
        <w:spacing w:after="0" w:line="240" w:lineRule="auto"/>
        <w:rPr>
          <w:color w:val="000000"/>
          <w:sz w:val="20"/>
          <w:szCs w:val="20"/>
        </w:rPr>
      </w:pPr>
      <w:r>
        <w:rPr>
          <w:b/>
          <w:color w:val="000000"/>
          <w:sz w:val="20"/>
          <w:szCs w:val="20"/>
        </w:rPr>
        <w:t xml:space="preserve">Sindicato: </w:t>
      </w:r>
      <w:r>
        <w:rPr>
          <w:color w:val="000000"/>
          <w:sz w:val="20"/>
          <w:szCs w:val="20"/>
        </w:rPr>
        <w:t>El sindicato es una asociación integrada por trabajadores o empleadores que se agrupan en defensa y promoción de sus intereses sociales, económicos y profesionales relacionados con su actividad laboral o con respecto al centro de producción. Los sindicatos por lo general negocian en nombre de sus afiliados (negociación colectiva) los salarios y condiciones de trabajo (jornada, descansos, vacaciones, licencias, capacitación profesional, beneficios extralegales, etc.) dando lugar a la negociación y al contrato colectivo de trabajo. El sindicato de trabajadores tiene como objetivo principal el bienestar de sus miembros o sindicalizados y generar mediante la unidad, la suficiente fuerza y capacidad de negociación como para establecer una dinámica de diálogo social entre el empleador y los trabajadores.</w:t>
      </w:r>
    </w:p>
    <w:p>
      <w:pPr>
        <w:spacing w:after="0" w:line="240" w:lineRule="auto"/>
        <w:jc w:val="both"/>
        <w:rPr>
          <w:color w:val="222222"/>
          <w:sz w:val="20"/>
          <w:szCs w:val="20"/>
          <w:highlight w:val="white"/>
        </w:rPr>
      </w:pPr>
    </w:p>
    <w:p>
      <w:pPr>
        <w:spacing w:after="0" w:line="240" w:lineRule="auto"/>
        <w:jc w:val="both"/>
        <w:rPr>
          <w:color w:val="222222"/>
          <w:sz w:val="20"/>
          <w:szCs w:val="20"/>
          <w:highlight w:val="white"/>
        </w:rPr>
      </w:pPr>
      <w:r>
        <w:rPr>
          <w:b/>
          <w:color w:val="222222"/>
          <w:sz w:val="20"/>
          <w:szCs w:val="20"/>
          <w:highlight w:val="white"/>
        </w:rPr>
        <w:t>Sistema universal de protección de los Derechos Humanos</w:t>
      </w:r>
      <w:r>
        <w:rPr>
          <w:color w:val="222222"/>
          <w:sz w:val="20"/>
          <w:szCs w:val="20"/>
          <w:highlight w:val="white"/>
        </w:rPr>
        <w:t>: El Sistema Universal de Protección de los Derechos Humanos (SUDH) es el conjunto de normas sustantivas y procesales, así como de organismos con alcance internacional, pertenecientes a la Organización de las Naciones Unidas (ONU), cuyo fin es la promoción y la protección de los derechos humanos universales.</w:t>
      </w:r>
    </w:p>
    <w:p>
      <w:pPr>
        <w:spacing w:after="0" w:line="240" w:lineRule="auto"/>
        <w:jc w:val="both"/>
        <w:rPr>
          <w:color w:val="222222"/>
          <w:sz w:val="20"/>
          <w:szCs w:val="20"/>
          <w:highlight w:val="white"/>
        </w:rPr>
      </w:pPr>
    </w:p>
    <w:p>
      <w:pPr>
        <w:spacing w:after="0" w:line="240" w:lineRule="auto"/>
        <w:jc w:val="both"/>
        <w:rPr>
          <w:color w:val="222222"/>
          <w:sz w:val="20"/>
          <w:szCs w:val="20"/>
          <w:highlight w:val="white"/>
        </w:rPr>
      </w:pPr>
      <w:r>
        <w:rPr>
          <w:b/>
          <w:color w:val="222222"/>
          <w:sz w:val="20"/>
          <w:szCs w:val="20"/>
          <w:highlight w:val="white"/>
        </w:rPr>
        <w:t>Sistema Interamericano de Derechos Humanos:</w:t>
      </w:r>
      <w:r>
        <w:rPr>
          <w:color w:val="222222"/>
          <w:sz w:val="20"/>
          <w:szCs w:val="20"/>
          <w:highlight w:val="white"/>
        </w:rPr>
        <w:t> es un escenario regional constituido por los Estados que integran la Organización de Estados Americanos (OEA), cuya principal función es velar por el respeto, protección y realización de los derechos humanos en el continente americano.</w:t>
      </w:r>
    </w:p>
    <w:p>
      <w:pPr>
        <w:jc w:val="both"/>
        <w:rPr>
          <w:rFonts w:ascii="Arial" w:hAnsi="Arial" w:cs="Arial"/>
          <w:b/>
          <w:sz w:val="20"/>
          <w:szCs w:val="20"/>
        </w:rPr>
      </w:pPr>
    </w:p>
    <w:p>
      <w:pPr>
        <w:jc w:val="both"/>
        <w:rPr>
          <w:rFonts w:ascii="Arial" w:hAnsi="Arial" w:cs="Arial"/>
          <w:b/>
          <w:sz w:val="20"/>
          <w:szCs w:val="20"/>
        </w:rPr>
      </w:pPr>
      <w:r>
        <w:rPr>
          <w:rFonts w:ascii="Arial" w:hAnsi="Arial" w:cs="Arial"/>
          <w:b/>
          <w:sz w:val="20"/>
          <w:szCs w:val="20"/>
        </w:rPr>
        <w:t>6. REFERENTES BILBIOGRÁFICOS</w:t>
      </w:r>
    </w:p>
    <w:p>
      <w:pPr>
        <w:spacing w:after="0" w:line="240" w:lineRule="auto"/>
        <w:rPr>
          <w:sz w:val="20"/>
          <w:szCs w:val="20"/>
        </w:rPr>
      </w:pPr>
      <w:r>
        <w:rPr>
          <w:sz w:val="20"/>
          <w:szCs w:val="20"/>
        </w:rPr>
        <w:t xml:space="preserve">Ávila, H. &amp; Criado Sánchez, L. (2011). </w:t>
      </w:r>
      <w:r>
        <w:rPr>
          <w:i/>
          <w:sz w:val="20"/>
          <w:szCs w:val="20"/>
        </w:rPr>
        <w:t>Teoría de los principios</w:t>
      </w:r>
      <w:r>
        <w:rPr>
          <w:sz w:val="20"/>
          <w:szCs w:val="20"/>
        </w:rPr>
        <w:t>. Madrid: Marcial Pons.</w:t>
      </w:r>
    </w:p>
    <w:p>
      <w:pPr>
        <w:spacing w:after="0"/>
        <w:jc w:val="both"/>
        <w:rPr>
          <w:color w:val="000000"/>
          <w:sz w:val="20"/>
          <w:szCs w:val="20"/>
        </w:rPr>
      </w:pPr>
    </w:p>
    <w:p>
      <w:pPr>
        <w:jc w:val="both"/>
        <w:rPr>
          <w:color w:val="000000"/>
          <w:sz w:val="20"/>
          <w:szCs w:val="20"/>
        </w:rPr>
      </w:pPr>
      <w:r>
        <w:rPr>
          <w:color w:val="000000"/>
          <w:sz w:val="20"/>
          <w:szCs w:val="20"/>
        </w:rPr>
        <w:t>Barona Betancourt, Ricardo. (2015). Principales violaciones al derecho de asociación sindical. Bogotá: Universidad Externado de Colombia.</w:t>
      </w:r>
    </w:p>
    <w:p>
      <w:pPr>
        <w:spacing w:after="0"/>
        <w:rPr>
          <w:sz w:val="20"/>
          <w:szCs w:val="20"/>
        </w:rPr>
      </w:pPr>
      <w:r>
        <w:rPr>
          <w:sz w:val="20"/>
          <w:szCs w:val="20"/>
        </w:rPr>
        <w:t xml:space="preserve">Blanco Zúñiga, G. (2010). </w:t>
      </w:r>
      <w:r>
        <w:rPr>
          <w:i/>
          <w:sz w:val="20"/>
          <w:szCs w:val="20"/>
        </w:rPr>
        <w:t>De la interpretación legal a la interpretación constitucional</w:t>
      </w:r>
      <w:r>
        <w:rPr>
          <w:sz w:val="20"/>
          <w:szCs w:val="20"/>
        </w:rPr>
        <w:t>. Bogotá: Grupo Editorial Ibáñez.</w:t>
      </w:r>
    </w:p>
    <w:p>
      <w:pPr>
        <w:spacing w:after="0"/>
        <w:rPr>
          <w:color w:val="000000"/>
          <w:sz w:val="18"/>
          <w:szCs w:val="18"/>
        </w:rPr>
      </w:pPr>
    </w:p>
    <w:p>
      <w:pPr>
        <w:spacing w:after="0"/>
        <w:rPr>
          <w:color w:val="000000"/>
          <w:sz w:val="20"/>
          <w:szCs w:val="20"/>
        </w:rPr>
      </w:pPr>
      <w:r>
        <w:rPr>
          <w:color w:val="000000"/>
          <w:sz w:val="20"/>
          <w:szCs w:val="20"/>
        </w:rPr>
        <w:t xml:space="preserve">Baylos, Antonio. (2011). </w:t>
      </w:r>
      <w:r>
        <w:rPr>
          <w:i/>
          <w:color w:val="000000"/>
          <w:sz w:val="20"/>
          <w:szCs w:val="20"/>
        </w:rPr>
        <w:t>Libertad sindical y representación de los trabajadores</w:t>
      </w:r>
      <w:r>
        <w:rPr>
          <w:color w:val="000000"/>
          <w:sz w:val="20"/>
          <w:szCs w:val="20"/>
        </w:rPr>
        <w:t>. En Derecho del trabajo: hacia una carta sociolaboral latinoamericana. Montevideo. Buenos Aires. B de F.</w:t>
      </w:r>
    </w:p>
    <w:p>
      <w:pPr>
        <w:spacing w:after="0"/>
        <w:rPr>
          <w:sz w:val="18"/>
          <w:szCs w:val="18"/>
        </w:rPr>
      </w:pPr>
    </w:p>
    <w:p>
      <w:pPr>
        <w:spacing w:after="0"/>
        <w:rPr>
          <w:sz w:val="20"/>
          <w:szCs w:val="20"/>
        </w:rPr>
      </w:pPr>
      <w:r>
        <w:rPr>
          <w:sz w:val="20"/>
          <w:szCs w:val="20"/>
        </w:rPr>
        <w:t xml:space="preserve">Bernal Pulido, C. (2014). </w:t>
      </w:r>
      <w:r>
        <w:rPr>
          <w:i/>
          <w:sz w:val="20"/>
          <w:szCs w:val="20"/>
        </w:rPr>
        <w:t>El principio de proporcionalidad y los derechos fundamentales (4ta ed.)</w:t>
      </w:r>
      <w:r>
        <w:rPr>
          <w:sz w:val="20"/>
          <w:szCs w:val="20"/>
        </w:rPr>
        <w:t>. Bogotá: Universidad Externado de Colombia.</w:t>
      </w:r>
    </w:p>
    <w:p>
      <w:pPr>
        <w:spacing w:after="0"/>
        <w:rPr>
          <w:sz w:val="18"/>
          <w:szCs w:val="18"/>
        </w:rPr>
      </w:pPr>
    </w:p>
    <w:p>
      <w:pPr>
        <w:spacing w:after="0"/>
        <w:rPr>
          <w:sz w:val="20"/>
          <w:szCs w:val="20"/>
        </w:rPr>
      </w:pPr>
      <w:r>
        <w:rPr>
          <w:sz w:val="20"/>
          <w:szCs w:val="20"/>
        </w:rPr>
        <w:t xml:space="preserve">Bronstein, A. (2014). </w:t>
      </w:r>
      <w:r>
        <w:rPr>
          <w:i/>
          <w:sz w:val="20"/>
          <w:szCs w:val="20"/>
        </w:rPr>
        <w:t>Derecho internacional del trabajo</w:t>
      </w:r>
      <w:r>
        <w:rPr>
          <w:sz w:val="20"/>
          <w:szCs w:val="20"/>
        </w:rPr>
        <w:t>. Bogotá: Astrea.</w:t>
      </w:r>
    </w:p>
    <w:p>
      <w:pPr>
        <w:spacing w:after="0"/>
        <w:rPr>
          <w:sz w:val="18"/>
          <w:szCs w:val="18"/>
        </w:rPr>
      </w:pPr>
    </w:p>
    <w:p>
      <w:pPr>
        <w:spacing w:after="0"/>
        <w:rPr>
          <w:sz w:val="20"/>
          <w:szCs w:val="20"/>
        </w:rPr>
      </w:pPr>
      <w:r>
        <w:rPr>
          <w:sz w:val="20"/>
          <w:szCs w:val="20"/>
        </w:rPr>
        <w:t xml:space="preserve">Canessa Montejo, M. (2014). </w:t>
      </w:r>
      <w:r>
        <w:rPr>
          <w:i/>
          <w:sz w:val="20"/>
          <w:szCs w:val="20"/>
        </w:rPr>
        <w:t>Los Derechos Humanos Laborales en el Seno de la Organización Internacional del Trabajo (OIT) (2da ed.)</w:t>
      </w:r>
      <w:r>
        <w:rPr>
          <w:sz w:val="20"/>
          <w:szCs w:val="20"/>
        </w:rPr>
        <w:t>. Lima: Ediciones PLADES.</w:t>
      </w:r>
    </w:p>
    <w:p>
      <w:pPr>
        <w:spacing w:after="0"/>
        <w:rPr>
          <w:sz w:val="18"/>
          <w:szCs w:val="18"/>
        </w:rPr>
      </w:pPr>
    </w:p>
    <w:p>
      <w:pPr>
        <w:jc w:val="both"/>
        <w:rPr>
          <w:color w:val="000000"/>
          <w:sz w:val="20"/>
          <w:szCs w:val="20"/>
        </w:rPr>
      </w:pPr>
      <w:r>
        <w:rPr>
          <w:color w:val="000000"/>
          <w:sz w:val="20"/>
          <w:szCs w:val="20"/>
        </w:rPr>
        <w:t xml:space="preserve">Conti Parra, Augusto. (1981).  </w:t>
      </w:r>
      <w:r>
        <w:rPr>
          <w:i/>
          <w:color w:val="000000"/>
          <w:sz w:val="20"/>
          <w:szCs w:val="20"/>
        </w:rPr>
        <w:t xml:space="preserve">El fuero sindical, </w:t>
      </w:r>
      <w:r>
        <w:rPr>
          <w:color w:val="000000"/>
          <w:sz w:val="20"/>
          <w:szCs w:val="20"/>
        </w:rPr>
        <w:t>Bogotá, Colombia: Temis.</w:t>
      </w:r>
    </w:p>
    <w:p>
      <w:pPr>
        <w:tabs>
          <w:tab w:val="left" w:pos="4320"/>
          <w:tab w:val="left" w:pos="4485"/>
          <w:tab w:val="left" w:pos="5445"/>
        </w:tabs>
        <w:jc w:val="both"/>
        <w:rPr>
          <w:sz w:val="20"/>
          <w:szCs w:val="20"/>
        </w:rPr>
      </w:pPr>
      <w:r>
        <w:rPr>
          <w:sz w:val="20"/>
          <w:szCs w:val="20"/>
        </w:rPr>
        <w:t>Derecho de asociación en el mundo estudiantil: “La revolución de los pingüinos”. En https://www.youtube.com/watch?v=BRRMrZyQYxU</w:t>
      </w:r>
    </w:p>
    <w:p>
      <w:pPr>
        <w:tabs>
          <w:tab w:val="left" w:pos="4320"/>
          <w:tab w:val="left" w:pos="4485"/>
          <w:tab w:val="left" w:pos="5445"/>
        </w:tabs>
        <w:jc w:val="both"/>
        <w:rPr>
          <w:sz w:val="20"/>
          <w:szCs w:val="20"/>
        </w:rPr>
      </w:pPr>
      <w:r>
        <w:rPr>
          <w:sz w:val="20"/>
          <w:szCs w:val="20"/>
        </w:rPr>
        <w:t>Documental sobre los esclavos modernos. En: https://www.youtube.com/watch?v=bO-u0w1Gx8E</w:t>
      </w:r>
    </w:p>
    <w:p>
      <w:pPr>
        <w:spacing w:after="0"/>
        <w:rPr>
          <w:sz w:val="20"/>
          <w:szCs w:val="20"/>
        </w:rPr>
      </w:pPr>
      <w:r>
        <w:rPr>
          <w:sz w:val="20"/>
          <w:szCs w:val="20"/>
        </w:rPr>
        <w:t xml:space="preserve">OSTAU DE LAFONT DE LEÓN, Francisco Rafael. El Derecho internacional laboral. Bogotá: Universidad Católica de Colombia. 2015. </w:t>
      </w:r>
    </w:p>
    <w:p>
      <w:pPr>
        <w:spacing w:after="0"/>
        <w:rPr>
          <w:sz w:val="16"/>
          <w:szCs w:val="16"/>
        </w:rPr>
      </w:pPr>
    </w:p>
    <w:p>
      <w:pPr>
        <w:spacing w:after="0"/>
        <w:rPr>
          <w:sz w:val="20"/>
          <w:szCs w:val="20"/>
        </w:rPr>
      </w:pPr>
      <w:r>
        <w:rPr>
          <w:sz w:val="20"/>
          <w:szCs w:val="20"/>
        </w:rPr>
        <w:t xml:space="preserve">Quinche Ramírez, M. (2014). </w:t>
      </w:r>
      <w:r>
        <w:rPr>
          <w:i/>
          <w:sz w:val="20"/>
          <w:szCs w:val="20"/>
        </w:rPr>
        <w:t>El control de convencionalidad</w:t>
      </w:r>
      <w:r>
        <w:rPr>
          <w:sz w:val="20"/>
          <w:szCs w:val="20"/>
        </w:rPr>
        <w:t>. Bogotá: Editorial Temis.</w:t>
      </w:r>
    </w:p>
    <w:p>
      <w:pPr>
        <w:spacing w:after="0"/>
        <w:rPr>
          <w:sz w:val="16"/>
          <w:szCs w:val="16"/>
        </w:rPr>
      </w:pPr>
    </w:p>
    <w:p>
      <w:pPr>
        <w:jc w:val="both"/>
        <w:rPr>
          <w:color w:val="000000"/>
          <w:sz w:val="20"/>
          <w:szCs w:val="20"/>
        </w:rPr>
      </w:pPr>
      <w:r>
        <w:rPr>
          <w:color w:val="000000"/>
          <w:sz w:val="20"/>
          <w:szCs w:val="20"/>
        </w:rPr>
        <w:t xml:space="preserve">Villegas Arbeláez, Jairo. (2014). </w:t>
      </w:r>
      <w:r>
        <w:rPr>
          <w:i/>
          <w:color w:val="000000"/>
          <w:sz w:val="20"/>
          <w:szCs w:val="20"/>
        </w:rPr>
        <w:t>Negociación colectiva y sindicatos de empleados públicos (6ta ed.).</w:t>
      </w:r>
      <w:r>
        <w:rPr>
          <w:color w:val="000000"/>
          <w:sz w:val="20"/>
          <w:szCs w:val="20"/>
        </w:rPr>
        <w:t xml:space="preserve"> Bogotá, Colombia: Universidad Externado de Colombia.</w:t>
      </w:r>
    </w:p>
    <w:p>
      <w:pPr>
        <w:jc w:val="both"/>
        <w:rPr>
          <w:color w:val="000000"/>
          <w:sz w:val="20"/>
          <w:szCs w:val="20"/>
        </w:rPr>
      </w:pPr>
      <w:r>
        <w:rPr>
          <w:color w:val="000000"/>
          <w:sz w:val="20"/>
          <w:szCs w:val="20"/>
        </w:rPr>
        <w:t xml:space="preserve">Sobre prestaciones sociales y obligaciones </w:t>
      </w:r>
      <w:r>
        <w:rPr>
          <w:sz w:val="20"/>
          <w:szCs w:val="20"/>
        </w:rPr>
        <w:t>económicas</w:t>
      </w:r>
      <w:r>
        <w:rPr>
          <w:color w:val="000000"/>
          <w:sz w:val="20"/>
          <w:szCs w:val="20"/>
        </w:rPr>
        <w:t xml:space="preserve"> del empleador . Manual de derechos Laborales. Escuela Nacional Sindical</w:t>
      </w:r>
    </w:p>
    <w:p>
      <w:pPr>
        <w:jc w:val="both"/>
        <w:rPr>
          <w:color w:val="000000"/>
          <w:sz w:val="20"/>
          <w:szCs w:val="20"/>
        </w:rPr>
      </w:pPr>
      <w:r>
        <w:rPr>
          <w:color w:val="000000"/>
          <w:sz w:val="20"/>
          <w:szCs w:val="20"/>
        </w:rPr>
        <w:t>Debido-proceso-en-las-relaciones-laborales. Manual de derechos Laborales. Escuela Nacional Sindical</w:t>
      </w:r>
    </w:p>
    <w:p>
      <w:pPr>
        <w:jc w:val="both"/>
        <w:rPr>
          <w:color w:val="000000"/>
          <w:sz w:val="20"/>
          <w:szCs w:val="20"/>
        </w:rPr>
      </w:pPr>
      <w:r>
        <w:rPr>
          <w:color w:val="000000"/>
          <w:sz w:val="20"/>
          <w:szCs w:val="20"/>
        </w:rPr>
        <w:t>El-derecho-a-la-libertad-sindical-en-Colombia.- Manual de derechos Laborales. Escuela Nacional Sindical</w:t>
      </w:r>
    </w:p>
    <w:p>
      <w:pPr>
        <w:jc w:val="both"/>
        <w:rPr>
          <w:rFonts w:ascii="Arial" w:hAnsi="Arial" w:cs="Arial"/>
          <w:b/>
          <w:sz w:val="20"/>
          <w:szCs w:val="20"/>
        </w:rPr>
      </w:pPr>
      <w:r>
        <w:rPr>
          <w:rFonts w:ascii="Arial" w:hAnsi="Arial" w:cs="Arial"/>
          <w:b/>
          <w:sz w:val="20"/>
          <w:szCs w:val="20"/>
        </w:rPr>
        <w:t>7. CONTROL DEL DOCUMENTO</w:t>
      </w:r>
    </w:p>
    <w:tbl>
      <w:tblPr>
        <w:tblStyle w:val="6"/>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2160"/>
        <w:gridCol w:w="1276"/>
        <w:gridCol w:w="3686"/>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tcBorders>
              <w:top w:val="nil"/>
              <w:left w:val="nil"/>
            </w:tcBorders>
          </w:tcPr>
          <w:p>
            <w:pPr>
              <w:spacing w:after="0" w:line="240" w:lineRule="auto"/>
              <w:jc w:val="both"/>
              <w:rPr>
                <w:b/>
                <w:sz w:val="20"/>
                <w:szCs w:val="20"/>
              </w:rPr>
            </w:pPr>
          </w:p>
        </w:tc>
        <w:tc>
          <w:tcPr>
            <w:tcW w:w="2160" w:type="dxa"/>
          </w:tcPr>
          <w:p>
            <w:pPr>
              <w:spacing w:after="0" w:line="240" w:lineRule="auto"/>
              <w:jc w:val="both"/>
              <w:rPr>
                <w:b/>
                <w:sz w:val="20"/>
                <w:szCs w:val="20"/>
              </w:rPr>
            </w:pPr>
            <w:r>
              <w:rPr>
                <w:b/>
                <w:sz w:val="20"/>
                <w:szCs w:val="20"/>
              </w:rPr>
              <w:t>Nombre</w:t>
            </w:r>
          </w:p>
        </w:tc>
        <w:tc>
          <w:tcPr>
            <w:tcW w:w="1276" w:type="dxa"/>
          </w:tcPr>
          <w:p>
            <w:pPr>
              <w:spacing w:after="0" w:line="240" w:lineRule="auto"/>
              <w:jc w:val="both"/>
              <w:rPr>
                <w:b/>
                <w:sz w:val="20"/>
                <w:szCs w:val="20"/>
              </w:rPr>
            </w:pPr>
            <w:r>
              <w:rPr>
                <w:b/>
                <w:sz w:val="20"/>
                <w:szCs w:val="20"/>
              </w:rPr>
              <w:t>Cargo</w:t>
            </w:r>
          </w:p>
        </w:tc>
        <w:tc>
          <w:tcPr>
            <w:tcW w:w="3686" w:type="dxa"/>
          </w:tcPr>
          <w:p>
            <w:pPr>
              <w:spacing w:after="0" w:line="240" w:lineRule="auto"/>
              <w:jc w:val="both"/>
              <w:rPr>
                <w:b/>
                <w:sz w:val="20"/>
                <w:szCs w:val="20"/>
              </w:rPr>
            </w:pPr>
            <w:r>
              <w:rPr>
                <w:b/>
                <w:sz w:val="20"/>
                <w:szCs w:val="20"/>
              </w:rPr>
              <w:t>Dependencia</w:t>
            </w:r>
          </w:p>
        </w:tc>
        <w:tc>
          <w:tcPr>
            <w:tcW w:w="1383" w:type="dxa"/>
          </w:tcPr>
          <w:p>
            <w:pPr>
              <w:spacing w:after="0" w:line="240" w:lineRule="auto"/>
              <w:jc w:val="both"/>
              <w:rPr>
                <w:b/>
                <w:sz w:val="20"/>
                <w:szCs w:val="20"/>
              </w:rPr>
            </w:pPr>
            <w:r>
              <w:rPr>
                <w:b/>
                <w:sz w:val="20"/>
                <w:szCs w:val="20"/>
              </w:rPr>
              <w:t>Fecha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Merge w:val="restart"/>
            <w:vAlign w:val="center"/>
          </w:tcPr>
          <w:p>
            <w:pPr>
              <w:spacing w:after="0" w:line="240" w:lineRule="auto"/>
              <w:jc w:val="center"/>
              <w:rPr>
                <w:b/>
                <w:sz w:val="20"/>
                <w:szCs w:val="20"/>
              </w:rPr>
            </w:pPr>
            <w:r>
              <w:rPr>
                <w:b/>
                <w:sz w:val="20"/>
                <w:szCs w:val="20"/>
              </w:rPr>
              <w:t>Autor (es)</w:t>
            </w:r>
          </w:p>
        </w:tc>
        <w:tc>
          <w:tcPr>
            <w:tcW w:w="2160" w:type="dxa"/>
          </w:tcPr>
          <w:p>
            <w:pPr>
              <w:spacing w:after="0" w:line="240" w:lineRule="auto"/>
              <w:jc w:val="both"/>
              <w:rPr>
                <w:sz w:val="20"/>
                <w:szCs w:val="20"/>
              </w:rPr>
            </w:pPr>
            <w:r>
              <w:rPr>
                <w:sz w:val="20"/>
                <w:szCs w:val="20"/>
              </w:rPr>
              <w:t>Oscar Alarcón Cuellar</w:t>
            </w:r>
          </w:p>
        </w:tc>
        <w:tc>
          <w:tcPr>
            <w:tcW w:w="1276" w:type="dxa"/>
          </w:tcPr>
          <w:p>
            <w:pPr>
              <w:spacing w:after="0" w:line="240" w:lineRule="auto"/>
              <w:jc w:val="both"/>
              <w:rPr>
                <w:sz w:val="20"/>
                <w:szCs w:val="20"/>
              </w:rPr>
            </w:pPr>
            <w:r>
              <w:rPr>
                <w:sz w:val="20"/>
                <w:szCs w:val="20"/>
              </w:rPr>
              <w:t>Asesor</w:t>
            </w:r>
          </w:p>
        </w:tc>
        <w:tc>
          <w:tcPr>
            <w:tcW w:w="3686" w:type="dxa"/>
          </w:tcPr>
          <w:p>
            <w:pPr>
              <w:spacing w:after="0" w:line="240" w:lineRule="auto"/>
              <w:jc w:val="both"/>
              <w:rPr>
                <w:sz w:val="20"/>
                <w:szCs w:val="20"/>
              </w:rPr>
            </w:pPr>
            <w:r>
              <w:rPr>
                <w:sz w:val="20"/>
                <w:szCs w:val="20"/>
              </w:rPr>
              <w:t>Sindesena</w:t>
            </w:r>
          </w:p>
        </w:tc>
        <w:tc>
          <w:tcPr>
            <w:tcW w:w="1383" w:type="dxa"/>
          </w:tcPr>
          <w:p>
            <w:pPr>
              <w:spacing w:after="0" w:line="240" w:lineRule="auto"/>
              <w:jc w:val="both"/>
              <w:rPr>
                <w:sz w:val="20"/>
                <w:szCs w:val="20"/>
              </w:rPr>
            </w:pPr>
            <w:r>
              <w:rPr>
                <w:sz w:val="20"/>
                <w:szCs w:val="20"/>
              </w:rPr>
              <w:t>Junio 8 / 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Merge w:val="continue"/>
          </w:tcPr>
          <w:p>
            <w:pPr>
              <w:spacing w:after="0" w:line="240" w:lineRule="auto"/>
              <w:jc w:val="both"/>
              <w:rPr>
                <w:b/>
                <w:sz w:val="20"/>
                <w:szCs w:val="20"/>
              </w:rPr>
            </w:pPr>
          </w:p>
        </w:tc>
        <w:tc>
          <w:tcPr>
            <w:tcW w:w="2160" w:type="dxa"/>
          </w:tcPr>
          <w:p>
            <w:pPr>
              <w:spacing w:after="0" w:line="240" w:lineRule="auto"/>
              <w:jc w:val="both"/>
              <w:rPr>
                <w:sz w:val="20"/>
                <w:szCs w:val="20"/>
              </w:rPr>
            </w:pPr>
            <w:r>
              <w:rPr>
                <w:sz w:val="20"/>
                <w:szCs w:val="20"/>
              </w:rPr>
              <w:t>Susana Cortés Franco</w:t>
            </w:r>
          </w:p>
        </w:tc>
        <w:tc>
          <w:tcPr>
            <w:tcW w:w="1276" w:type="dxa"/>
          </w:tcPr>
          <w:p>
            <w:pPr>
              <w:spacing w:after="0" w:line="240" w:lineRule="auto"/>
              <w:jc w:val="both"/>
              <w:rPr>
                <w:sz w:val="20"/>
                <w:szCs w:val="20"/>
              </w:rPr>
            </w:pPr>
            <w:r>
              <w:rPr>
                <w:sz w:val="20"/>
                <w:szCs w:val="20"/>
              </w:rPr>
              <w:t>Profesional</w:t>
            </w:r>
          </w:p>
        </w:tc>
        <w:tc>
          <w:tcPr>
            <w:tcW w:w="3686" w:type="dxa"/>
          </w:tcPr>
          <w:p>
            <w:pPr>
              <w:spacing w:after="0" w:line="240" w:lineRule="auto"/>
              <w:jc w:val="both"/>
              <w:rPr>
                <w:sz w:val="20"/>
                <w:szCs w:val="20"/>
              </w:rPr>
            </w:pPr>
            <w:r>
              <w:rPr>
                <w:sz w:val="20"/>
                <w:szCs w:val="20"/>
              </w:rPr>
              <w:t>SENA- Regional Amazonas- Equipo Pedagógico Sindesena</w:t>
            </w:r>
          </w:p>
        </w:tc>
        <w:tc>
          <w:tcPr>
            <w:tcW w:w="1383" w:type="dxa"/>
          </w:tcPr>
          <w:p>
            <w:pPr>
              <w:spacing w:after="0" w:line="240" w:lineRule="auto"/>
              <w:jc w:val="both"/>
              <w:rPr>
                <w:sz w:val="20"/>
                <w:szCs w:val="20"/>
              </w:rPr>
            </w:pPr>
            <w:r>
              <w:rPr>
                <w:sz w:val="20"/>
                <w:szCs w:val="20"/>
              </w:rPr>
              <w:t>Junio 8 / 2018</w:t>
            </w:r>
          </w:p>
        </w:tc>
      </w:tr>
    </w:tbl>
    <w:p>
      <w:pPr>
        <w:jc w:val="both"/>
        <w:rPr>
          <w:rFonts w:ascii="Arial" w:hAnsi="Arial" w:cs="Arial"/>
          <w:b/>
          <w:sz w:val="20"/>
          <w:szCs w:val="20"/>
        </w:rPr>
      </w:pPr>
    </w:p>
    <w:p>
      <w:pPr>
        <w:rPr>
          <w:rFonts w:ascii="Arial" w:hAnsi="Arial" w:cs="Arial"/>
          <w:sz w:val="20"/>
          <w:szCs w:val="20"/>
        </w:rPr>
      </w:pPr>
    </w:p>
    <w:p>
      <w:pPr>
        <w:rPr>
          <w:rFonts w:ascii="Arial" w:hAnsi="Arial" w:cs="Arial"/>
          <w:b/>
          <w:sz w:val="20"/>
          <w:szCs w:val="20"/>
        </w:rPr>
      </w:pPr>
      <w:r>
        <w:rPr>
          <w:rFonts w:ascii="Arial" w:hAnsi="Arial" w:cs="Arial"/>
          <w:b/>
          <w:sz w:val="20"/>
          <w:szCs w:val="20"/>
        </w:rPr>
        <w:t xml:space="preserve">8. CONTROL DE CAMBIOS </w:t>
      </w:r>
      <w:r>
        <w:rPr>
          <w:rFonts w:ascii="Arial" w:hAnsi="Arial" w:cs="Arial"/>
          <w:sz w:val="20"/>
          <w:szCs w:val="20"/>
        </w:rPr>
        <w:t>(diligenciar únicamente si realiza ajustes a la guía)</w:t>
      </w:r>
    </w:p>
    <w:tbl>
      <w:tblPr>
        <w:tblStyle w:val="6"/>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2694"/>
        <w:gridCol w:w="1424"/>
        <w:gridCol w:w="1559"/>
        <w:gridCol w:w="882"/>
        <w:gridCol w:w="19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tcBorders>
              <w:top w:val="nil"/>
              <w:left w:val="nil"/>
            </w:tcBorders>
          </w:tcPr>
          <w:p>
            <w:pPr>
              <w:spacing w:after="0" w:line="240" w:lineRule="auto"/>
              <w:jc w:val="both"/>
              <w:rPr>
                <w:b/>
                <w:sz w:val="20"/>
                <w:szCs w:val="20"/>
              </w:rPr>
            </w:pPr>
          </w:p>
        </w:tc>
        <w:tc>
          <w:tcPr>
            <w:tcW w:w="2694" w:type="dxa"/>
          </w:tcPr>
          <w:p>
            <w:pPr>
              <w:spacing w:after="0" w:line="240" w:lineRule="auto"/>
              <w:jc w:val="both"/>
              <w:rPr>
                <w:b/>
                <w:sz w:val="20"/>
                <w:szCs w:val="20"/>
              </w:rPr>
            </w:pPr>
            <w:r>
              <w:rPr>
                <w:b/>
                <w:sz w:val="20"/>
                <w:szCs w:val="20"/>
              </w:rPr>
              <w:t>Nombre</w:t>
            </w:r>
          </w:p>
        </w:tc>
        <w:tc>
          <w:tcPr>
            <w:tcW w:w="1424" w:type="dxa"/>
          </w:tcPr>
          <w:p>
            <w:pPr>
              <w:spacing w:after="0" w:line="240" w:lineRule="auto"/>
              <w:jc w:val="both"/>
              <w:rPr>
                <w:b/>
                <w:sz w:val="20"/>
                <w:szCs w:val="20"/>
              </w:rPr>
            </w:pPr>
            <w:r>
              <w:rPr>
                <w:b/>
                <w:sz w:val="20"/>
                <w:szCs w:val="20"/>
              </w:rPr>
              <w:t>Cargo</w:t>
            </w:r>
          </w:p>
        </w:tc>
        <w:tc>
          <w:tcPr>
            <w:tcW w:w="1559" w:type="dxa"/>
          </w:tcPr>
          <w:p>
            <w:pPr>
              <w:spacing w:after="0" w:line="240" w:lineRule="auto"/>
              <w:jc w:val="both"/>
              <w:rPr>
                <w:b/>
                <w:sz w:val="20"/>
                <w:szCs w:val="20"/>
              </w:rPr>
            </w:pPr>
            <w:r>
              <w:rPr>
                <w:b/>
                <w:sz w:val="20"/>
                <w:szCs w:val="20"/>
              </w:rPr>
              <w:t>Dependencia</w:t>
            </w:r>
          </w:p>
        </w:tc>
        <w:tc>
          <w:tcPr>
            <w:tcW w:w="882" w:type="dxa"/>
          </w:tcPr>
          <w:p>
            <w:pPr>
              <w:spacing w:after="0" w:line="240" w:lineRule="auto"/>
              <w:jc w:val="both"/>
              <w:rPr>
                <w:b/>
                <w:sz w:val="20"/>
                <w:szCs w:val="20"/>
              </w:rPr>
            </w:pPr>
            <w:r>
              <w:rPr>
                <w:b/>
                <w:sz w:val="20"/>
                <w:szCs w:val="20"/>
              </w:rPr>
              <w:t>Fecha</w:t>
            </w:r>
          </w:p>
        </w:tc>
        <w:tc>
          <w:tcPr>
            <w:tcW w:w="1946" w:type="dxa"/>
          </w:tcPr>
          <w:p>
            <w:pPr>
              <w:spacing w:after="0" w:line="240" w:lineRule="auto"/>
              <w:jc w:val="both"/>
              <w:rPr>
                <w:b/>
                <w:sz w:val="20"/>
                <w:szCs w:val="20"/>
              </w:rPr>
            </w:pPr>
            <w:r>
              <w:rPr>
                <w:b/>
                <w:sz w:val="20"/>
                <w:szCs w:val="20"/>
              </w:rPr>
              <w:t>Razón del Cambio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Merge w:val="restart"/>
            <w:vAlign w:val="center"/>
          </w:tcPr>
          <w:p>
            <w:pPr>
              <w:spacing w:after="0" w:line="240" w:lineRule="auto"/>
              <w:jc w:val="center"/>
              <w:rPr>
                <w:sz w:val="20"/>
                <w:szCs w:val="20"/>
              </w:rPr>
            </w:pPr>
            <w:r>
              <w:rPr>
                <w:sz w:val="20"/>
                <w:szCs w:val="20"/>
              </w:rPr>
              <w:t>Autor (es)</w:t>
            </w:r>
          </w:p>
        </w:tc>
        <w:tc>
          <w:tcPr>
            <w:tcW w:w="2694" w:type="dxa"/>
          </w:tcPr>
          <w:p>
            <w:pPr>
              <w:spacing w:after="0" w:line="240" w:lineRule="auto"/>
              <w:jc w:val="both"/>
              <w:rPr>
                <w:sz w:val="20"/>
                <w:szCs w:val="20"/>
              </w:rPr>
            </w:pPr>
            <w:r>
              <w:rPr>
                <w:sz w:val="20"/>
                <w:szCs w:val="20"/>
              </w:rPr>
              <w:t>Amparo Sandoval Lasso</w:t>
            </w:r>
          </w:p>
        </w:tc>
        <w:tc>
          <w:tcPr>
            <w:tcW w:w="1424" w:type="dxa"/>
          </w:tcPr>
          <w:p>
            <w:pPr>
              <w:spacing w:after="0" w:line="240" w:lineRule="auto"/>
              <w:jc w:val="both"/>
              <w:rPr>
                <w:sz w:val="20"/>
                <w:szCs w:val="20"/>
              </w:rPr>
            </w:pPr>
            <w:r>
              <w:rPr>
                <w:sz w:val="20"/>
                <w:szCs w:val="20"/>
              </w:rPr>
              <w:t>Asesor</w:t>
            </w:r>
          </w:p>
        </w:tc>
        <w:tc>
          <w:tcPr>
            <w:tcW w:w="1559" w:type="dxa"/>
          </w:tcPr>
          <w:p>
            <w:pPr>
              <w:spacing w:after="0" w:line="240" w:lineRule="auto"/>
              <w:jc w:val="both"/>
              <w:rPr>
                <w:sz w:val="20"/>
                <w:szCs w:val="20"/>
              </w:rPr>
            </w:pPr>
            <w:r>
              <w:rPr>
                <w:sz w:val="20"/>
                <w:szCs w:val="20"/>
              </w:rPr>
              <w:t>Equipo Pedagógico Sindesena</w:t>
            </w:r>
          </w:p>
        </w:tc>
        <w:tc>
          <w:tcPr>
            <w:tcW w:w="882" w:type="dxa"/>
          </w:tcPr>
          <w:p>
            <w:pPr>
              <w:spacing w:after="0" w:line="240" w:lineRule="auto"/>
              <w:jc w:val="both"/>
              <w:rPr>
                <w:sz w:val="20"/>
                <w:szCs w:val="20"/>
              </w:rPr>
            </w:pPr>
            <w:r>
              <w:rPr>
                <w:sz w:val="20"/>
                <w:szCs w:val="20"/>
              </w:rPr>
              <w:t>Marzo 2019</w:t>
            </w:r>
          </w:p>
        </w:tc>
        <w:tc>
          <w:tcPr>
            <w:tcW w:w="1946" w:type="dxa"/>
          </w:tcPr>
          <w:p>
            <w:pPr>
              <w:spacing w:after="0" w:line="240" w:lineRule="auto"/>
              <w:jc w:val="both"/>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Merge w:val="continue"/>
          </w:tcPr>
          <w:p>
            <w:pPr>
              <w:spacing w:after="0" w:line="240" w:lineRule="auto"/>
              <w:jc w:val="both"/>
              <w:rPr>
                <w:sz w:val="20"/>
                <w:szCs w:val="20"/>
              </w:rPr>
            </w:pPr>
          </w:p>
        </w:tc>
        <w:tc>
          <w:tcPr>
            <w:tcW w:w="2694" w:type="dxa"/>
          </w:tcPr>
          <w:p>
            <w:pPr>
              <w:spacing w:after="0" w:line="240" w:lineRule="auto"/>
              <w:jc w:val="both"/>
              <w:rPr>
                <w:sz w:val="20"/>
                <w:szCs w:val="20"/>
              </w:rPr>
            </w:pPr>
            <w:r>
              <w:rPr>
                <w:sz w:val="20"/>
                <w:szCs w:val="20"/>
              </w:rPr>
              <w:t>Susana Cortés Franco</w:t>
            </w:r>
          </w:p>
        </w:tc>
        <w:tc>
          <w:tcPr>
            <w:tcW w:w="1424" w:type="dxa"/>
          </w:tcPr>
          <w:p>
            <w:pPr>
              <w:spacing w:after="0" w:line="240" w:lineRule="auto"/>
              <w:jc w:val="both"/>
              <w:rPr>
                <w:sz w:val="20"/>
                <w:szCs w:val="20"/>
              </w:rPr>
            </w:pPr>
            <w:r>
              <w:rPr>
                <w:sz w:val="20"/>
                <w:szCs w:val="20"/>
              </w:rPr>
              <w:t>Profesional</w:t>
            </w:r>
          </w:p>
        </w:tc>
        <w:tc>
          <w:tcPr>
            <w:tcW w:w="1559" w:type="dxa"/>
          </w:tcPr>
          <w:p>
            <w:pPr>
              <w:spacing w:after="0" w:line="240" w:lineRule="auto"/>
              <w:jc w:val="both"/>
              <w:rPr>
                <w:sz w:val="20"/>
                <w:szCs w:val="20"/>
              </w:rPr>
            </w:pPr>
            <w:r>
              <w:rPr>
                <w:sz w:val="20"/>
                <w:szCs w:val="20"/>
              </w:rPr>
              <w:t>Regional Amazonas</w:t>
            </w:r>
          </w:p>
        </w:tc>
        <w:tc>
          <w:tcPr>
            <w:tcW w:w="882" w:type="dxa"/>
          </w:tcPr>
          <w:p>
            <w:pPr>
              <w:spacing w:after="0" w:line="240" w:lineRule="auto"/>
              <w:jc w:val="both"/>
              <w:rPr>
                <w:sz w:val="20"/>
                <w:szCs w:val="20"/>
              </w:rPr>
            </w:pPr>
            <w:r>
              <w:rPr>
                <w:sz w:val="20"/>
                <w:szCs w:val="20"/>
              </w:rPr>
              <w:t>Marzo 2019</w:t>
            </w:r>
          </w:p>
        </w:tc>
        <w:tc>
          <w:tcPr>
            <w:tcW w:w="1946" w:type="dxa"/>
          </w:tcPr>
          <w:p>
            <w:pPr>
              <w:spacing w:after="0" w:line="240" w:lineRule="auto"/>
              <w:jc w:val="both"/>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vMerge w:val="continue"/>
          </w:tcPr>
          <w:p>
            <w:pPr>
              <w:spacing w:after="0" w:line="240" w:lineRule="auto"/>
              <w:jc w:val="both"/>
              <w:rPr>
                <w:sz w:val="20"/>
                <w:szCs w:val="20"/>
              </w:rPr>
            </w:pPr>
          </w:p>
        </w:tc>
        <w:tc>
          <w:tcPr>
            <w:tcW w:w="2694" w:type="dxa"/>
          </w:tcPr>
          <w:p>
            <w:pPr>
              <w:spacing w:after="0" w:line="240" w:lineRule="auto"/>
              <w:jc w:val="center"/>
              <w:rPr>
                <w:sz w:val="20"/>
                <w:szCs w:val="20"/>
              </w:rPr>
            </w:pPr>
            <w:r>
              <w:rPr>
                <w:sz w:val="20"/>
                <w:szCs w:val="20"/>
              </w:rPr>
              <w:t>Herney Arango T.</w:t>
            </w:r>
          </w:p>
          <w:p>
            <w:pPr>
              <w:spacing w:after="0" w:line="240" w:lineRule="auto"/>
              <w:jc w:val="center"/>
              <w:rPr>
                <w:sz w:val="20"/>
                <w:szCs w:val="20"/>
              </w:rPr>
            </w:pPr>
            <w:r>
              <w:rPr>
                <w:sz w:val="20"/>
                <w:szCs w:val="20"/>
              </w:rPr>
              <w:t>Claudia Roncancio P.</w:t>
            </w:r>
          </w:p>
          <w:p>
            <w:pPr>
              <w:spacing w:after="0" w:line="240" w:lineRule="auto"/>
              <w:jc w:val="center"/>
              <w:rPr>
                <w:sz w:val="20"/>
                <w:szCs w:val="20"/>
              </w:rPr>
            </w:pPr>
            <w:r>
              <w:rPr>
                <w:sz w:val="20"/>
                <w:szCs w:val="20"/>
              </w:rPr>
              <w:t>Susana Cortes F.</w:t>
            </w:r>
          </w:p>
          <w:p>
            <w:pPr>
              <w:spacing w:after="0" w:line="240" w:lineRule="auto"/>
              <w:jc w:val="center"/>
              <w:rPr>
                <w:sz w:val="20"/>
                <w:szCs w:val="20"/>
              </w:rPr>
            </w:pPr>
            <w:r>
              <w:rPr>
                <w:sz w:val="20"/>
                <w:szCs w:val="20"/>
              </w:rPr>
              <w:t>Amparo Sandoval</w:t>
            </w:r>
          </w:p>
          <w:p>
            <w:pPr>
              <w:spacing w:after="0" w:line="240" w:lineRule="auto"/>
              <w:jc w:val="center"/>
              <w:rPr>
                <w:sz w:val="20"/>
                <w:szCs w:val="20"/>
              </w:rPr>
            </w:pPr>
            <w:r>
              <w:rPr>
                <w:sz w:val="20"/>
                <w:szCs w:val="20"/>
              </w:rPr>
              <w:t>Gerson Montañez</w:t>
            </w:r>
          </w:p>
        </w:tc>
        <w:tc>
          <w:tcPr>
            <w:tcW w:w="1424" w:type="dxa"/>
          </w:tcPr>
          <w:p>
            <w:pPr>
              <w:spacing w:after="0" w:line="240" w:lineRule="auto"/>
              <w:jc w:val="both"/>
              <w:rPr>
                <w:sz w:val="20"/>
                <w:szCs w:val="20"/>
              </w:rPr>
            </w:pPr>
          </w:p>
        </w:tc>
        <w:tc>
          <w:tcPr>
            <w:tcW w:w="1559" w:type="dxa"/>
          </w:tcPr>
          <w:p>
            <w:pPr>
              <w:spacing w:after="0" w:line="240" w:lineRule="auto"/>
              <w:jc w:val="both"/>
              <w:rPr>
                <w:sz w:val="20"/>
                <w:szCs w:val="20"/>
              </w:rPr>
            </w:pPr>
            <w:r>
              <w:rPr>
                <w:sz w:val="20"/>
                <w:szCs w:val="20"/>
              </w:rPr>
              <w:t>ENI – Equipo Pedagógico SINDESENA</w:t>
            </w:r>
          </w:p>
        </w:tc>
        <w:tc>
          <w:tcPr>
            <w:tcW w:w="882"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pPr>
              <w:spacing w:after="0" w:line="240" w:lineRule="auto"/>
              <w:jc w:val="center"/>
              <w:rPr>
                <w:sz w:val="20"/>
                <w:szCs w:val="20"/>
              </w:rPr>
            </w:pPr>
            <w:r>
              <w:rPr>
                <w:sz w:val="20"/>
                <w:szCs w:val="20"/>
              </w:rPr>
              <w:t>26/04/2019</w:t>
            </w:r>
          </w:p>
        </w:tc>
        <w:tc>
          <w:tcPr>
            <w:tcW w:w="1946"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spacing w:after="0" w:line="240" w:lineRule="auto"/>
              <w:jc w:val="both"/>
              <w:rPr>
                <w:sz w:val="20"/>
                <w:szCs w:val="20"/>
              </w:rPr>
            </w:pPr>
            <w:r>
              <w:rPr>
                <w:sz w:val="20"/>
                <w:szCs w:val="20"/>
              </w:rPr>
              <w:t>Ajuste desarrollo curricular: análisis pedagógico, guías, instrumentos, material de apoyo</w:t>
            </w:r>
          </w:p>
        </w:tc>
      </w:tr>
    </w:tbl>
    <w:p>
      <w:pPr>
        <w:rPr>
          <w:rFonts w:ascii="Arial" w:hAnsi="Arial" w:cs="Arial"/>
          <w:sz w:val="20"/>
          <w:szCs w:val="20"/>
        </w:rPr>
      </w:pPr>
    </w:p>
    <w:p>
      <w:pPr>
        <w:rPr>
          <w:rFonts w:hint="default" w:ascii="Arial" w:hAnsi="Arial" w:cs="Arial"/>
          <w:sz w:val="20"/>
          <w:szCs w:val="20"/>
          <w:lang w:val="es-MX"/>
        </w:rPr>
      </w:pPr>
      <w:bookmarkStart w:id="0" w:name="_GoBack"/>
      <w:bookmarkEnd w:id="0"/>
    </w:p>
    <w:p>
      <w:pPr>
        <w:spacing w:after="0"/>
        <w:rPr>
          <w:color w:val="000000" w:themeColor="text1"/>
          <w14:textFill>
            <w14:solidFill>
              <w14:schemeClr w14:val="tx1"/>
            </w14:solidFill>
          </w14:textFill>
        </w:rPr>
      </w:pPr>
    </w:p>
    <w:p>
      <w:pPr>
        <w:jc w:val="center"/>
        <w:rPr>
          <w:b/>
          <w:sz w:val="20"/>
          <w:szCs w:val="20"/>
        </w:rPr>
      </w:pPr>
    </w:p>
    <w:p>
      <w:pPr>
        <w:spacing w:after="0" w:line="360" w:lineRule="auto"/>
        <w:rPr>
          <w:rFonts w:cs="Calibri"/>
          <w:color w:val="000000" w:themeColor="text1"/>
          <w14:textFill>
            <w14:solidFill>
              <w14:schemeClr w14:val="tx1"/>
            </w14:solidFill>
          </w14:textFill>
        </w:rPr>
      </w:pPr>
    </w:p>
    <w:sectPr>
      <w:headerReference r:id="rId6" w:type="first"/>
      <w:headerReference r:id="rId5" w:type="default"/>
      <w:footerReference r:id="rId7" w:type="default"/>
      <w:pgSz w:w="12240" w:h="15840"/>
      <w:pgMar w:top="1779" w:right="1041" w:bottom="1418" w:left="156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メイリオ">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ucida Grande">
    <w:altName w:val="Courier New"/>
    <w:panose1 w:val="00000000000000000000"/>
    <w:charset w:val="00"/>
    <w:family w:val="auto"/>
    <w:pitch w:val="default"/>
    <w:sig w:usb0="00000000" w:usb1="00000000" w:usb2="00000000" w:usb3="00000000" w:csb0="000001BF" w:csb1="00000000"/>
  </w:font>
  <w:font w:name="Symbol">
    <w:panose1 w:val="05050102010706020507"/>
    <w:charset w:val="02"/>
    <w:family w:val="roman"/>
    <w:pitch w:val="default"/>
    <w:sig w:usb0="00000000" w:usb1="00000000" w:usb2="00000000" w:usb3="00000000" w:csb0="80000000" w:csb1="00000000"/>
  </w:font>
  <w:font w:name="Noto Sans Symbol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color w:val="595959" w:themeColor="text1" w:themeTint="A6"/>
        <w:sz w:val="18"/>
        <w14:textFill>
          <w14:solidFill>
            <w14:schemeClr w14:val="tx1">
              <w14:lumMod w14:val="65000"/>
              <w14:lumOff w14:val="35000"/>
            </w14:schemeClr>
          </w14:solidFill>
        </w14:textFill>
      </w:rPr>
    </w:pPr>
  </w:p>
  <w:p>
    <w:pPr>
      <w:pStyle w:val="11"/>
      <w:jc w:val="center"/>
    </w:pPr>
    <w:r>
      <w:t>GFPI-F-135 V02</w:t>
    </w:r>
  </w:p>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lang w:val="es-ES" w:eastAsia="es-ES"/>
      </w:rPr>
      <w:t xml:space="preserve"> </w:t>
    </w:r>
    <w:r>
      <w:rPr>
        <w:lang w:eastAsia="es-CO"/>
      </w:rPr>
      <w:t xml:space="preserve">                                                                                                                      </w:t>
    </w:r>
  </w:p>
  <w:p>
    <w:pPr>
      <w:pStyle w:val="14"/>
      <w:tabs>
        <w:tab w:val="right" w:pos="8413"/>
        <w:tab w:val="clear" w:pos="4419"/>
        <w:tab w:val="clear" w:pos="8838"/>
      </w:tabs>
      <w:jc w:val="center"/>
    </w:pPr>
    <w:r>
      <w:rPr>
        <w:lang w:eastAsia="es-CO"/>
      </w:rPr>
      <w:drawing>
        <wp:inline distT="0" distB="0" distL="0" distR="0">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lang w:val="es-ES" w:eastAsia="es-ES"/>
      </w:rPr>
    </w:pPr>
  </w:p>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900EA8"/>
    <w:multiLevelType w:val="multilevel"/>
    <w:tmpl w:val="31900E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hideSpellingErrors/>
  <w:hideGrammaticalErrors/>
  <w:attachedTemplate r:id="rId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F2166"/>
    <w:rsid w:val="00117BFB"/>
    <w:rsid w:val="00174851"/>
    <w:rsid w:val="001C508E"/>
    <w:rsid w:val="002D12AD"/>
    <w:rsid w:val="002E0F5A"/>
    <w:rsid w:val="003232D5"/>
    <w:rsid w:val="003B2FA3"/>
    <w:rsid w:val="00400D09"/>
    <w:rsid w:val="00502891"/>
    <w:rsid w:val="005242C6"/>
    <w:rsid w:val="006866E9"/>
    <w:rsid w:val="00763DBE"/>
    <w:rsid w:val="00886060"/>
    <w:rsid w:val="009015A5"/>
    <w:rsid w:val="009D3278"/>
    <w:rsid w:val="00A63563"/>
    <w:rsid w:val="00A92164"/>
    <w:rsid w:val="00B457AB"/>
    <w:rsid w:val="00B53D0D"/>
    <w:rsid w:val="00BB464D"/>
    <w:rsid w:val="00D277E1"/>
    <w:rsid w:val="00E85AFD"/>
    <w:rsid w:val="00FB155A"/>
    <w:rsid w:val="07161B34"/>
    <w:rsid w:val="209F4E11"/>
    <w:rsid w:val="217B28FE"/>
    <w:rsid w:val="43C23B61"/>
    <w:rsid w:val="671B3414"/>
  </w:rsids>
  <m:mathPr>
    <m:mathFont m:val="Cambria Math"/>
    <m:brkBin m:val="before"/>
    <m:brkBinSub m:val="--"/>
    <m:smallFrac m:val="0"/>
    <m:dispDef/>
    <m:lMargin m:val="0"/>
    <m:rMargin m:val="0"/>
    <m:defJc m:val="centerGroup"/>
    <m:wrapIndent m:val="1440"/>
    <m:intLim m:val="subSup"/>
    <m:naryLim m:val="undOvr"/>
  </m:mathPr>
  <w:doNotAutoCompressPictures/>
  <w:themeFontLang w:val="es-CO"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s-CO" w:eastAsia="en-US" w:bidi="ar-SA"/>
    </w:rPr>
  </w:style>
  <w:style w:type="paragraph" w:styleId="2">
    <w:name w:val="heading 1"/>
    <w:basedOn w:val="1"/>
    <w:next w:val="1"/>
    <w:link w:val="28"/>
    <w:qFormat/>
    <w:uiPriority w:val="9"/>
    <w:pPr>
      <w:spacing w:line="360" w:lineRule="auto"/>
      <w:jc w:val="center"/>
      <w:outlineLvl w:val="0"/>
    </w:pPr>
    <w:rPr>
      <w:rFonts w:cs="Arial"/>
      <w:b/>
      <w:color w:val="262626"/>
      <w:sz w:val="28"/>
      <w:szCs w:val="24"/>
    </w:rPr>
  </w:style>
  <w:style w:type="paragraph" w:styleId="3">
    <w:name w:val="heading 2"/>
    <w:basedOn w:val="1"/>
    <w:next w:val="1"/>
    <w:link w:val="29"/>
    <w:unhideWhenUsed/>
    <w:qFormat/>
    <w:uiPriority w:val="9"/>
    <w:pPr>
      <w:spacing w:line="240" w:lineRule="auto"/>
      <w:jc w:val="center"/>
      <w:outlineLvl w:val="1"/>
    </w:pPr>
    <w:rPr>
      <w:rFonts w:cs="Arial"/>
      <w:color w:val="262626"/>
      <w:szCs w:val="24"/>
    </w:rPr>
  </w:style>
  <w:style w:type="paragraph" w:styleId="4">
    <w:name w:val="heading 3"/>
    <w:basedOn w:val="1"/>
    <w:next w:val="1"/>
    <w:link w:val="38"/>
    <w:unhideWhenUsed/>
    <w:qFormat/>
    <w:uiPriority w:val="9"/>
    <w:pPr>
      <w:keepNext/>
      <w:keepLines/>
      <w:spacing w:before="200" w:after="0"/>
      <w:outlineLvl w:val="2"/>
    </w:pPr>
    <w:rPr>
      <w:rFonts w:asciiTheme="majorHAnsi" w:hAnsiTheme="majorHAnsi" w:eastAsiaTheme="majorEastAsia" w:cstheme="majorBidi"/>
      <w:b/>
      <w:bCs/>
      <w:color w:val="052F61" w:themeColor="accent1"/>
      <w14:textFill>
        <w14:solidFill>
          <w14:schemeClr w14:val="accent1"/>
        </w14:solidFill>
      </w14:textFill>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26"/>
    <w:semiHidden/>
    <w:unhideWhenUsed/>
    <w:uiPriority w:val="99"/>
    <w:pPr>
      <w:spacing w:after="0" w:line="240" w:lineRule="auto"/>
    </w:pPr>
    <w:rPr>
      <w:rFonts w:ascii="Lucida Grande" w:hAnsi="Lucida Grande" w:cs="Lucida Grande"/>
      <w:sz w:val="18"/>
      <w:szCs w:val="18"/>
    </w:rPr>
  </w:style>
  <w:style w:type="character" w:styleId="8">
    <w:name w:val="annotation reference"/>
    <w:basedOn w:val="5"/>
    <w:semiHidden/>
    <w:unhideWhenUsed/>
    <w:uiPriority w:val="99"/>
    <w:rPr>
      <w:sz w:val="16"/>
      <w:szCs w:val="16"/>
    </w:rPr>
  </w:style>
  <w:style w:type="paragraph" w:styleId="9">
    <w:name w:val="annotation text"/>
    <w:basedOn w:val="1"/>
    <w:link w:val="34"/>
    <w:semiHidden/>
    <w:unhideWhenUsed/>
    <w:uiPriority w:val="99"/>
    <w:pPr>
      <w:spacing w:line="240" w:lineRule="auto"/>
    </w:pPr>
    <w:rPr>
      <w:sz w:val="20"/>
      <w:szCs w:val="20"/>
    </w:rPr>
  </w:style>
  <w:style w:type="paragraph" w:styleId="10">
    <w:name w:val="annotation subject"/>
    <w:basedOn w:val="9"/>
    <w:next w:val="9"/>
    <w:link w:val="35"/>
    <w:semiHidden/>
    <w:unhideWhenUsed/>
    <w:qFormat/>
    <w:uiPriority w:val="99"/>
    <w:rPr>
      <w:b/>
      <w:bCs/>
    </w:rPr>
  </w:style>
  <w:style w:type="paragraph" w:styleId="11">
    <w:name w:val="footer"/>
    <w:basedOn w:val="1"/>
    <w:link w:val="25"/>
    <w:unhideWhenUsed/>
    <w:uiPriority w:val="99"/>
    <w:pPr>
      <w:tabs>
        <w:tab w:val="center" w:pos="4419"/>
        <w:tab w:val="right" w:pos="8838"/>
      </w:tabs>
      <w:spacing w:after="0" w:line="240" w:lineRule="auto"/>
    </w:pPr>
  </w:style>
  <w:style w:type="character" w:styleId="12">
    <w:name w:val="footnote reference"/>
    <w:basedOn w:val="5"/>
    <w:semiHidden/>
    <w:unhideWhenUsed/>
    <w:uiPriority w:val="99"/>
    <w:rPr>
      <w:vertAlign w:val="superscript"/>
    </w:rPr>
  </w:style>
  <w:style w:type="paragraph" w:styleId="13">
    <w:name w:val="footnote text"/>
    <w:basedOn w:val="1"/>
    <w:link w:val="39"/>
    <w:semiHidden/>
    <w:unhideWhenUsed/>
    <w:uiPriority w:val="99"/>
    <w:pPr>
      <w:spacing w:after="0" w:line="240" w:lineRule="auto"/>
    </w:pPr>
    <w:rPr>
      <w:sz w:val="20"/>
      <w:szCs w:val="20"/>
    </w:rPr>
  </w:style>
  <w:style w:type="paragraph" w:styleId="14">
    <w:name w:val="header"/>
    <w:basedOn w:val="1"/>
    <w:link w:val="24"/>
    <w:unhideWhenUsed/>
    <w:uiPriority w:val="0"/>
    <w:pPr>
      <w:tabs>
        <w:tab w:val="center" w:pos="4419"/>
        <w:tab w:val="right" w:pos="8838"/>
      </w:tabs>
      <w:spacing w:after="0" w:line="240" w:lineRule="auto"/>
    </w:pPr>
  </w:style>
  <w:style w:type="character" w:styleId="15">
    <w:name w:val="Hyperlink"/>
    <w:basedOn w:val="5"/>
    <w:unhideWhenUsed/>
    <w:uiPriority w:val="99"/>
    <w:rPr>
      <w:color w:val="0D2E46" w:themeColor="hyperlink"/>
      <w:u w:val="single"/>
      <w14:textFill>
        <w14:solidFill>
          <w14:schemeClr w14:val="hlink"/>
        </w14:solidFill>
      </w14:textFill>
    </w:rPr>
  </w:style>
  <w:style w:type="paragraph" w:styleId="16">
    <w:name w:val="Normal (Web)"/>
    <w:basedOn w:val="1"/>
    <w:unhideWhenUsed/>
    <w:uiPriority w:val="99"/>
    <w:pPr>
      <w:spacing w:before="100" w:beforeAutospacing="1" w:after="100" w:afterAutospacing="1" w:line="240" w:lineRule="auto"/>
    </w:pPr>
    <w:rPr>
      <w:rFonts w:ascii="Times New Roman" w:hAnsi="Times New Roman" w:eastAsiaTheme="minorEastAsia"/>
      <w:sz w:val="24"/>
      <w:szCs w:val="24"/>
      <w:lang w:eastAsia="es-CO"/>
    </w:rPr>
  </w:style>
  <w:style w:type="character" w:styleId="17">
    <w:name w:val="Strong"/>
    <w:basedOn w:val="5"/>
    <w:qFormat/>
    <w:uiPriority w:val="22"/>
    <w:rPr>
      <w:b/>
      <w:bCs/>
    </w:rPr>
  </w:style>
  <w:style w:type="table" w:styleId="18">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oc 1"/>
    <w:basedOn w:val="1"/>
    <w:next w:val="1"/>
    <w:unhideWhenUsed/>
    <w:uiPriority w:val="39"/>
    <w:pPr>
      <w:spacing w:after="100"/>
    </w:pPr>
  </w:style>
  <w:style w:type="paragraph" w:styleId="20">
    <w:name w:val="toc 2"/>
    <w:basedOn w:val="1"/>
    <w:next w:val="1"/>
    <w:unhideWhenUsed/>
    <w:qFormat/>
    <w:uiPriority w:val="39"/>
    <w:pPr>
      <w:spacing w:after="100"/>
      <w:ind w:left="220"/>
    </w:pPr>
  </w:style>
  <w:style w:type="paragraph" w:styleId="21">
    <w:name w:val="toc 3"/>
    <w:basedOn w:val="1"/>
    <w:next w:val="1"/>
    <w:unhideWhenUsed/>
    <w:uiPriority w:val="39"/>
    <w:pPr>
      <w:spacing w:after="100"/>
      <w:ind w:left="440"/>
    </w:pPr>
  </w:style>
  <w:style w:type="table" w:styleId="22">
    <w:name w:val="Light Grid Accent 3"/>
    <w:basedOn w:val="6"/>
    <w:uiPriority w:val="62"/>
    <w:tblPr>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tcPr>
    </w:tblStylePr>
  </w:style>
  <w:style w:type="paragraph" w:customStyle="1" w:styleId="23">
    <w:name w:val="Lista multicolor - Énfasis 11"/>
    <w:basedOn w:val="1"/>
    <w:qFormat/>
    <w:uiPriority w:val="34"/>
    <w:pPr>
      <w:ind w:left="720"/>
      <w:contextualSpacing/>
    </w:pPr>
  </w:style>
  <w:style w:type="character" w:customStyle="1" w:styleId="24">
    <w:name w:val="Encabezado Car"/>
    <w:basedOn w:val="5"/>
    <w:link w:val="14"/>
    <w:qFormat/>
    <w:uiPriority w:val="99"/>
  </w:style>
  <w:style w:type="character" w:customStyle="1" w:styleId="25">
    <w:name w:val="Pie de página Car"/>
    <w:basedOn w:val="5"/>
    <w:link w:val="11"/>
    <w:qFormat/>
    <w:uiPriority w:val="99"/>
  </w:style>
  <w:style w:type="character" w:customStyle="1" w:styleId="26">
    <w:name w:val="Texto de globo Car"/>
    <w:link w:val="7"/>
    <w:semiHidden/>
    <w:qFormat/>
    <w:uiPriority w:val="99"/>
    <w:rPr>
      <w:rFonts w:ascii="Lucida Grande" w:hAnsi="Lucida Grande" w:cs="Lucida Grande"/>
      <w:sz w:val="18"/>
      <w:szCs w:val="18"/>
    </w:rPr>
  </w:style>
  <w:style w:type="character" w:customStyle="1" w:styleId="27">
    <w:name w:val="Encabezado Car1"/>
    <w:qFormat/>
    <w:uiPriority w:val="0"/>
    <w:rPr>
      <w:rFonts w:ascii="Calibri" w:hAnsi="Calibri" w:eastAsia="Calibri"/>
      <w:sz w:val="22"/>
      <w:szCs w:val="22"/>
      <w:lang w:eastAsia="ar-SA"/>
    </w:rPr>
  </w:style>
  <w:style w:type="character" w:customStyle="1" w:styleId="28">
    <w:name w:val="Título 1 Car"/>
    <w:link w:val="2"/>
    <w:uiPriority w:val="9"/>
    <w:rPr>
      <w:rFonts w:cs="Arial"/>
      <w:b/>
      <w:color w:val="262626"/>
      <w:sz w:val="28"/>
      <w:szCs w:val="24"/>
      <w:lang w:eastAsia="en-US"/>
    </w:rPr>
  </w:style>
  <w:style w:type="character" w:customStyle="1" w:styleId="29">
    <w:name w:val="Título 2 Car"/>
    <w:link w:val="3"/>
    <w:qFormat/>
    <w:uiPriority w:val="9"/>
    <w:rPr>
      <w:rFonts w:cs="Arial"/>
      <w:color w:val="262626"/>
      <w:sz w:val="22"/>
      <w:szCs w:val="24"/>
      <w:lang w:eastAsia="en-US"/>
    </w:rPr>
  </w:style>
  <w:style w:type="paragraph" w:styleId="30">
    <w:name w:val="List Paragraph"/>
    <w:basedOn w:val="1"/>
    <w:link w:val="31"/>
    <w:qFormat/>
    <w:uiPriority w:val="34"/>
    <w:pPr>
      <w:ind w:left="720"/>
      <w:contextualSpacing/>
    </w:pPr>
    <w:rPr>
      <w:rFonts w:asciiTheme="minorHAnsi" w:hAnsiTheme="minorHAnsi" w:eastAsiaTheme="minorHAnsi" w:cstheme="minorBidi"/>
    </w:rPr>
  </w:style>
  <w:style w:type="character" w:customStyle="1" w:styleId="31">
    <w:name w:val="Párrafo de lista Car"/>
    <w:link w:val="30"/>
    <w:uiPriority w:val="34"/>
    <w:rPr>
      <w:rFonts w:asciiTheme="minorHAnsi" w:hAnsiTheme="minorHAnsi" w:eastAsiaTheme="minorHAnsi" w:cstheme="minorBidi"/>
      <w:sz w:val="22"/>
      <w:szCs w:val="22"/>
      <w:lang w:eastAsia="en-US"/>
    </w:rPr>
  </w:style>
  <w:style w:type="paragraph" w:customStyle="1" w:styleId="32">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color w:val="042349" w:themeColor="accent1" w:themeShade="BF"/>
      <w:sz w:val="32"/>
      <w:szCs w:val="32"/>
      <w:lang w:eastAsia="es-CO"/>
    </w:rPr>
  </w:style>
  <w:style w:type="table" w:customStyle="1" w:styleId="33">
    <w:name w:val="Tabla de cuadrícula 4 - Énfasis 11"/>
    <w:basedOn w:val="6"/>
    <w:qFormat/>
    <w:uiPriority w:val="49"/>
    <w:tblPr>
      <w:tblBorders>
        <w:top w:val="single" w:color="167AF2" w:themeColor="accent1" w:themeTint="99" w:sz="4" w:space="0"/>
        <w:left w:val="single" w:color="167AF2" w:themeColor="accent1" w:themeTint="99" w:sz="4" w:space="0"/>
        <w:bottom w:val="single" w:color="167AF2" w:themeColor="accent1" w:themeTint="99" w:sz="4" w:space="0"/>
        <w:right w:val="single" w:color="167AF2" w:themeColor="accent1" w:themeTint="99" w:sz="4" w:space="0"/>
        <w:insideH w:val="single" w:color="167AF2" w:themeColor="accent1" w:themeTint="99" w:sz="4" w:space="0"/>
        <w:insideV w:val="single" w:color="167AF2" w:themeColor="accent1" w:themeTint="99" w:sz="4" w:space="0"/>
      </w:tblBorders>
    </w:tblPr>
    <w:tblStylePr w:type="firstRow">
      <w:rPr>
        <w:b/>
        <w:bCs/>
        <w:color w:val="FFFFFF" w:themeColor="background1"/>
        <w14:textFill>
          <w14:solidFill>
            <w14:schemeClr w14:val="bg1"/>
          </w14:solidFill>
        </w14:textFill>
      </w:r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cPr>
        <w:tcBorders>
          <w:top w:val="double" w:color="052F61" w:themeColor="accent1" w:sz="4" w:space="0"/>
        </w:tcBorders>
      </w:tcPr>
    </w:tblStylePr>
    <w:tblStylePr w:type="firstCol">
      <w:rPr>
        <w:b/>
        <w:bCs/>
      </w:rPr>
    </w:tblStylePr>
    <w:tblStylePr w:type="lastCol">
      <w:rPr>
        <w:b/>
        <w:bCs/>
      </w:rPr>
    </w:tblStylePr>
    <w:tblStylePr w:type="band1Vert">
      <w:tcPr>
        <w:shd w:val="clear" w:color="auto" w:fill="B1D2FA" w:themeFill="accent1" w:themeFillTint="33"/>
      </w:tcPr>
    </w:tblStylePr>
    <w:tblStylePr w:type="band1Horz">
      <w:tcPr>
        <w:shd w:val="clear" w:color="auto" w:fill="B1D2FA" w:themeFill="accent1" w:themeFillTint="33"/>
      </w:tcPr>
    </w:tblStylePr>
  </w:style>
  <w:style w:type="character" w:customStyle="1" w:styleId="34">
    <w:name w:val="Texto comentario Car"/>
    <w:basedOn w:val="5"/>
    <w:link w:val="9"/>
    <w:semiHidden/>
    <w:qFormat/>
    <w:uiPriority w:val="99"/>
    <w:rPr>
      <w:lang w:eastAsia="en-US"/>
    </w:rPr>
  </w:style>
  <w:style w:type="character" w:customStyle="1" w:styleId="35">
    <w:name w:val="Asunto del comentario Car"/>
    <w:basedOn w:val="34"/>
    <w:link w:val="10"/>
    <w:semiHidden/>
    <w:uiPriority w:val="99"/>
    <w:rPr>
      <w:b/>
      <w:bCs/>
      <w:lang w:eastAsia="en-US"/>
    </w:rPr>
  </w:style>
  <w:style w:type="paragraph" w:styleId="36">
    <w:name w:val="No Spacing"/>
    <w:link w:val="37"/>
    <w:qFormat/>
    <w:uiPriority w:val="1"/>
    <w:rPr>
      <w:rFonts w:asciiTheme="minorHAnsi" w:hAnsiTheme="minorHAnsi" w:eastAsiaTheme="minorEastAsia" w:cstheme="minorBidi"/>
      <w:sz w:val="22"/>
      <w:szCs w:val="22"/>
      <w:lang w:val="es-CO" w:eastAsia="es-CO" w:bidi="ar-SA"/>
    </w:rPr>
  </w:style>
  <w:style w:type="character" w:customStyle="1" w:styleId="37">
    <w:name w:val="Sin espaciado Car"/>
    <w:basedOn w:val="5"/>
    <w:link w:val="36"/>
    <w:uiPriority w:val="1"/>
    <w:rPr>
      <w:rFonts w:asciiTheme="minorHAnsi" w:hAnsiTheme="minorHAnsi" w:eastAsiaTheme="minorEastAsia" w:cstheme="minorBidi"/>
      <w:sz w:val="22"/>
      <w:szCs w:val="22"/>
      <w:lang w:eastAsia="es-CO"/>
    </w:rPr>
  </w:style>
  <w:style w:type="character" w:customStyle="1" w:styleId="38">
    <w:name w:val="Título 3 Car"/>
    <w:basedOn w:val="5"/>
    <w:link w:val="4"/>
    <w:qFormat/>
    <w:uiPriority w:val="9"/>
    <w:rPr>
      <w:rFonts w:asciiTheme="majorHAnsi" w:hAnsiTheme="majorHAnsi" w:eastAsiaTheme="majorEastAsia" w:cstheme="majorBidi"/>
      <w:b/>
      <w:bCs/>
      <w:color w:val="052F61" w:themeColor="accent1"/>
      <w:sz w:val="22"/>
      <w:szCs w:val="22"/>
      <w:lang w:eastAsia="en-US"/>
      <w14:textFill>
        <w14:solidFill>
          <w14:schemeClr w14:val="accent1"/>
        </w14:solidFill>
      </w14:textFill>
    </w:rPr>
  </w:style>
  <w:style w:type="character" w:customStyle="1" w:styleId="39">
    <w:name w:val="Texto nota pie Car"/>
    <w:basedOn w:val="5"/>
    <w:link w:val="13"/>
    <w:semiHidden/>
    <w:uiPriority w:val="99"/>
    <w:rPr>
      <w:lang w:eastAsia="en-US"/>
    </w:rPr>
  </w:style>
  <w:style w:type="paragraph" w:customStyle="1" w:styleId="40">
    <w:name w:val="Default"/>
    <w:uiPriority w:val="0"/>
    <w:pPr>
      <w:autoSpaceDE w:val="0"/>
      <w:autoSpaceDN w:val="0"/>
      <w:adjustRightInd w:val="0"/>
    </w:pPr>
    <w:rPr>
      <w:rFonts w:ascii="Times New Roman" w:hAnsi="Times New Roman" w:eastAsia="Calibri" w:cs="Times New Roman"/>
      <w:color w:val="000000"/>
      <w:sz w:val="24"/>
      <w:szCs w:val="24"/>
      <w:lang w:val="es-CO" w:eastAsia="es-ES" w:bidi="ar-SA"/>
    </w:rPr>
  </w:style>
  <w:style w:type="character" w:customStyle="1" w:styleId="41">
    <w:name w:val="apple-converted-space"/>
    <w:basedOn w:val="5"/>
    <w:uiPriority w:val="0"/>
  </w:style>
  <w:style w:type="paragraph" w:customStyle="1" w:styleId="42">
    <w:name w:val="HTML Top of Form"/>
    <w:basedOn w:val="1"/>
    <w:next w:val="1"/>
    <w:link w:val="43"/>
    <w:semiHidden/>
    <w:unhideWhenUsed/>
    <w:uiPriority w:val="99"/>
    <w:pPr>
      <w:pBdr>
        <w:bottom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3">
    <w:name w:val="z-Principio del formulario Car"/>
    <w:basedOn w:val="5"/>
    <w:link w:val="42"/>
    <w:semiHidden/>
    <w:uiPriority w:val="99"/>
    <w:rPr>
      <w:rFonts w:ascii="Arial" w:hAnsi="Arial" w:eastAsia="Times New Roman" w:cs="Arial"/>
      <w:vanish/>
      <w:sz w:val="16"/>
      <w:szCs w:val="16"/>
      <w:lang w:eastAsia="es-CO"/>
    </w:rPr>
  </w:style>
  <w:style w:type="paragraph" w:customStyle="1" w:styleId="44">
    <w:name w:val="HTML Bottom of Form"/>
    <w:basedOn w:val="1"/>
    <w:next w:val="1"/>
    <w:link w:val="45"/>
    <w:semiHidden/>
    <w:unhideWhenUsed/>
    <w:uiPriority w:val="99"/>
    <w:pPr>
      <w:pBdr>
        <w:top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5">
    <w:name w:val="z-Final del formulario Car"/>
    <w:basedOn w:val="5"/>
    <w:link w:val="44"/>
    <w:semiHidden/>
    <w:qFormat/>
    <w:uiPriority w:val="99"/>
    <w:rPr>
      <w:rFonts w:ascii="Arial" w:hAnsi="Arial" w:eastAsia="Times New Roman" w:cs="Arial"/>
      <w:vanish/>
      <w:sz w:val="16"/>
      <w:szCs w:val="16"/>
      <w:lang w:eastAsia="es-CO"/>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datastoreItem>
</file>

<file path=docProps/app.xml><?xml version="1.0" encoding="utf-8"?>
<Properties xmlns="http://schemas.openxmlformats.org/officeDocument/2006/extended-properties" xmlns:vt="http://schemas.openxmlformats.org/officeDocument/2006/docPropsVTypes">
  <Template>Formato_word-SENA-GC-F-005-V1</Template>
  <Company>Toshiba</Company>
  <Pages>2</Pages>
  <Words>289</Words>
  <Characters>1592</Characters>
  <Lines>13</Lines>
  <Paragraphs>3</Paragraphs>
  <TotalTime>0</TotalTime>
  <ScaleCrop>false</ScaleCrop>
  <LinksUpToDate>false</LinksUpToDate>
  <CharactersWithSpaces>1878</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2023-05-11T23:49:00Z</dcterms:created>
  <dc:creator>ASTRID SUAREZ</dc:creator>
  <cp:lastModifiedBy>Userr</cp:lastModifiedBy>
  <cp:lastPrinted>2016-06-08T15:42:00Z</cp:lastPrinted>
  <dcterms:modified xsi:type="dcterms:W3CDTF">2023-07-15T03:00:26Z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KSOProductBuildVer">
    <vt:lpwstr>1033-11.2.0.11537</vt:lpwstr>
  </property>
  <property fmtid="{D5CDD505-2E9C-101B-9397-08002B2CF9AE}" pid="10" name="ICV">
    <vt:lpwstr>8AB3714B55D2444685D683AE629D8F27</vt:lpwstr>
  </property>
</Properties>
</file>